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0C0BE9"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25165004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251652096;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251651072;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251643904;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251646976;visibility:visible" filled="f" stroked="f" strokeweight=".5pt">
            <v:textbox style="mso-next-textbox:#Поле 21">
              <w:txbxContent>
                <w:p w:rsidR="00C00FC6" w:rsidRPr="000C0BE9" w:rsidRDefault="00751764" w:rsidP="00C00FC6">
                  <w:pPr>
                    <w:spacing w:after="0"/>
                    <w:rPr>
                      <w:rFonts w:ascii="Times New Roman" w:hAnsi="Times New Roman"/>
                      <w:b/>
                      <w:sz w:val="20"/>
                      <w:szCs w:val="20"/>
                    </w:rPr>
                  </w:pPr>
                  <w:r w:rsidRPr="000C0BE9">
                    <w:rPr>
                      <w:rFonts w:ascii="Times New Roman" w:hAnsi="Times New Roman"/>
                      <w:b/>
                      <w:sz w:val="20"/>
                      <w:szCs w:val="20"/>
                    </w:rPr>
                    <w:t xml:space="preserve">Головне управління ДПС у Волинській області </w:t>
                  </w:r>
                  <w:r w:rsidR="00C00FC6" w:rsidRPr="000C0BE9">
                    <w:rPr>
                      <w:rFonts w:ascii="Times New Roman" w:hAnsi="Times New Roman"/>
                      <w:b/>
                      <w:sz w:val="20"/>
                      <w:szCs w:val="20"/>
                    </w:rPr>
                    <w:t>43010, м. Луцьк, Київський майдан , 4,</w:t>
                  </w:r>
                </w:p>
                <w:p w:rsidR="005506B3" w:rsidRPr="000C0BE9" w:rsidRDefault="00C00FC6" w:rsidP="00751764">
                  <w:pPr>
                    <w:spacing w:after="0" w:line="240" w:lineRule="auto"/>
                    <w:rPr>
                      <w:rFonts w:ascii="Times New Roman" w:hAnsi="Times New Roman"/>
                      <w:b/>
                      <w:sz w:val="20"/>
                      <w:szCs w:val="20"/>
                    </w:rPr>
                  </w:pPr>
                  <w:proofErr w:type="spellStart"/>
                  <w:r w:rsidRPr="000C0BE9">
                    <w:rPr>
                      <w:rFonts w:ascii="Times New Roman" w:hAnsi="Times New Roman"/>
                      <w:b/>
                      <w:sz w:val="20"/>
                      <w:szCs w:val="20"/>
                    </w:rPr>
                    <w:t>Тел</w:t>
                  </w:r>
                  <w:proofErr w:type="spellEnd"/>
                  <w:r w:rsidRPr="000C0BE9">
                    <w:rPr>
                      <w:rFonts w:ascii="Times New Roman" w:hAnsi="Times New Roman"/>
                      <w:b/>
                      <w:sz w:val="20"/>
                      <w:szCs w:val="20"/>
                    </w:rPr>
                    <w:t>. (0332) 77-71-</w:t>
                  </w:r>
                  <w:r w:rsidR="004B2E63" w:rsidRPr="000C0BE9">
                    <w:rPr>
                      <w:rFonts w:ascii="Times New Roman" w:hAnsi="Times New Roman"/>
                      <w:b/>
                      <w:sz w:val="20"/>
                      <w:szCs w:val="20"/>
                      <w:lang w:val="ru-RU"/>
                    </w:rPr>
                    <w:t>18</w:t>
                  </w:r>
                  <w:r w:rsidRPr="000C0BE9">
                    <w:rPr>
                      <w:rFonts w:ascii="Times New Roman" w:hAnsi="Times New Roman"/>
                      <w:b/>
                      <w:sz w:val="20"/>
                      <w:szCs w:val="20"/>
                    </w:rPr>
                    <w:t xml:space="preserve"> </w:t>
                  </w:r>
                  <w:bookmarkStart w:id="0" w:name="_GoBack"/>
                  <w:bookmarkEnd w:id="0"/>
                </w:p>
              </w:txbxContent>
            </v:textbox>
          </v:shape>
        </w:pict>
      </w:r>
      <w:r>
        <w:rPr>
          <w:noProof/>
          <w:lang w:val="ru-RU" w:eastAsia="ru-RU"/>
        </w:rPr>
        <w:pict>
          <v:rect id="_x0000_s1252" style="position:absolute;margin-left:470.55pt;margin-top:2.95pt;width:322.7pt;height:36.8pt;z-index:251648000"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251642880"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2D5D6F" w:rsidRPr="00F67AC3" w:rsidRDefault="0004386F" w:rsidP="002D5D6F">
                    <w:pPr>
                      <w:spacing w:after="0" w:line="240" w:lineRule="auto"/>
                      <w:jc w:val="center"/>
                      <w:rPr>
                        <w:rFonts w:ascii="Times New Roman" w:hAnsi="Times New Roman"/>
                        <w:b/>
                        <w:color w:val="17365D"/>
                        <w:sz w:val="56"/>
                        <w:szCs w:val="56"/>
                      </w:rPr>
                    </w:pPr>
                    <w:r w:rsidRPr="00390EF6">
                      <w:rPr>
                        <w:rFonts w:ascii="Times New Roman" w:hAnsi="Times New Roman"/>
                        <w:b/>
                        <w:i/>
                        <w:color w:val="002060"/>
                        <w:sz w:val="52"/>
                        <w:szCs w:val="52"/>
                      </w:rPr>
                      <w:t>Реєстратори розрахункових операцій 2020</w:t>
                    </w:r>
                    <w:r w:rsidR="00012560" w:rsidRPr="00F67AC3">
                      <w:rPr>
                        <w:rFonts w:ascii="Times New Roman" w:hAnsi="Times New Roman"/>
                        <w:b/>
                        <w:color w:val="17365D"/>
                        <w:sz w:val="56"/>
                        <w:szCs w:val="56"/>
                      </w:rPr>
                      <w:t xml:space="preserve"> </w:t>
                    </w:r>
                  </w:p>
                </w:txbxContent>
              </v:textbox>
            </v:shape>
          </v:group>
        </w:pict>
      </w:r>
      <w:r>
        <w:rPr>
          <w:noProof/>
          <w:lang w:val="ru-RU" w:eastAsia="ru-RU"/>
        </w:rPr>
        <w:pict>
          <v:line id="Прямая соединительная линия 6" o:spid="_x0000_s1253" style="position:absolute;flip:y;z-index:251649024;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04386F" w:rsidP="00CC28BB">
                  <w:pPr>
                    <w:rPr>
                      <w:i/>
                      <w:sz w:val="16"/>
                    </w:rPr>
                  </w:pPr>
                  <w:r>
                    <w:rPr>
                      <w:i/>
                      <w:sz w:val="16"/>
                    </w:rPr>
                    <w:t>грудень</w:t>
                  </w:r>
                  <w:r w:rsidR="005506B3">
                    <w:rPr>
                      <w:i/>
                      <w:sz w:val="16"/>
                    </w:rPr>
                    <w:t xml:space="preserve"> 201</w:t>
                  </w:r>
                  <w:r w:rsidR="00E53816">
                    <w:rPr>
                      <w:i/>
                      <w:sz w:val="16"/>
                    </w:rPr>
                    <w:t>9</w:t>
                  </w:r>
                  <w:r w:rsidR="005506B3">
                    <w:rPr>
                      <w:i/>
                      <w:sz w:val="16"/>
                    </w:rPr>
                    <w:t xml:space="preserve"> року</w:t>
                  </w:r>
                </w:p>
                <w:p w:rsidR="001428D3" w:rsidRPr="00CC28BB" w:rsidRDefault="001428D3" w:rsidP="00CC28BB"/>
              </w:txbxContent>
            </v:textbox>
          </v:shape>
        </w:pict>
      </w:r>
    </w:p>
    <w:p w:rsidR="001428D3" w:rsidRDefault="000C0BE9">
      <w:r>
        <w:rPr>
          <w:noProof/>
          <w:lang w:eastAsia="uk-UA"/>
        </w:rPr>
        <w:pict>
          <v:shape id="_x0000_s1313" type="#_x0000_t202" style="position:absolute;margin-left:-4.65pt;margin-top:9.7pt;width:371.85pt;height:425.6pt;z-index:251671552" strokecolor="white">
            <v:textbox>
              <w:txbxContent>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зареєстрований фіскальним сервером контролюючого органу, інформація в якому зафіксована у вигляді електронних даних, включаючи обов’язкові реквізити фіскального звітного чека за встановленою формою. </w:t>
                  </w:r>
                </w:p>
                <w:p w:rsidR="00D462A7" w:rsidRPr="004D79A4" w:rsidRDefault="00D462A7" w:rsidP="00D462A7">
                  <w:pPr>
                    <w:spacing w:line="240" w:lineRule="auto"/>
                    <w:jc w:val="both"/>
                    <w:rPr>
                      <w:rFonts w:ascii="Times New Roman" w:hAnsi="Times New Roman"/>
                      <w:sz w:val="26"/>
                      <w:szCs w:val="26"/>
                      <w:lang w:val="en-US"/>
                    </w:rPr>
                  </w:pPr>
                  <w:r w:rsidRPr="004D79A4">
                    <w:rPr>
                      <w:rFonts w:ascii="Times New Roman" w:hAnsi="Times New Roman"/>
                      <w:sz w:val="26"/>
                      <w:szCs w:val="26"/>
                    </w:rPr>
                    <w:t>Норми наберуть чинності з 19.04.2020.</w:t>
                  </w:r>
                </w:p>
                <w:p w:rsidR="00550B0B" w:rsidRDefault="00550B0B" w:rsidP="000955E8">
                  <w:pPr>
                    <w:shd w:val="clear" w:color="auto" w:fill="FFFFFF"/>
                  </w:pPr>
                </w:p>
              </w:txbxContent>
            </v:textbox>
          </v:shape>
        </w:pict>
      </w:r>
    </w:p>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0C0BE9">
      <w:r>
        <w:rPr>
          <w:noProof/>
          <w:lang w:eastAsia="uk-UA"/>
        </w:rPr>
        <w:pict>
          <v:shape id="Поле 11" o:spid="_x0000_s1037" type="#_x0000_t202" style="position:absolute;margin-left:-14.45pt;margin-top:2.8pt;width:388.3pt;height:49.3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Територіальні органи ДПС у Волинській області:</w:t>
                  </w:r>
                  <w:proofErr w:type="spellStart"/>
                  <w:r w:rsidRPr="00FE0531">
                    <w:rPr>
                      <w:rStyle w:val="a8"/>
                      <w:spacing w:val="-4"/>
                      <w:sz w:val="18"/>
                      <w:szCs w:val="18"/>
                      <w:lang w:val="en-US"/>
                    </w:rPr>
                    <w:t>vl.tax</w:t>
                  </w:r>
                  <w:proofErr w:type="spellEnd"/>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35773E">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0C0BE9">
      <w:r>
        <w:rPr>
          <w:noProof/>
          <w:lang w:eastAsia="uk-UA"/>
        </w:rPr>
        <w:pict>
          <v:oval id="_x0000_s1296" style="position:absolute;margin-left:159.65pt;margin-top:34.1pt;width:23.25pt;height:23.45pt;z-index:251658240" fillcolor="#8db3e2">
            <v:textbox style="mso-next-textbox:#_x0000_s1296">
              <w:txbxContent>
                <w:p w:rsidR="004A3DA8" w:rsidRPr="00F67AC3" w:rsidRDefault="00F67AC3" w:rsidP="004A3DA8">
                  <w:pPr>
                    <w:rPr>
                      <w:u w:val="single"/>
                    </w:rPr>
                  </w:pPr>
                  <w:r>
                    <w:rPr>
                      <w:u w:val="single"/>
                    </w:rPr>
                    <w:t>6</w:t>
                  </w:r>
                </w:p>
              </w:txbxContent>
            </v:textbox>
          </v:oval>
        </w:pict>
      </w:r>
      <w:r>
        <w:rPr>
          <w:noProof/>
          <w:lang w:eastAsia="uk-UA"/>
        </w:rPr>
        <w:pict>
          <v:oval id="_x0000_s1295" style="position:absolute;margin-left:581.35pt;margin-top:34.1pt;width:23.25pt;height:23.45pt;z-index:251657216"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0C0BE9">
      <w:r>
        <w:rPr>
          <w:noProof/>
          <w:lang w:eastAsia="uk-UA"/>
        </w:rPr>
        <w:lastRenderedPageBreak/>
        <w:pict>
          <v:shape id="_x0000_s1294" type="#_x0000_t75" style="position:absolute;margin-left:576.2pt;margin-top:-22.7pt;width:42.75pt;height:45.7pt;z-index:251656192;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251654144;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251653120;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251655168;visibility:visible" wrapcoords="-267 0 -267 16821 267 18350 533 18542 9067 21409 9600 21409 11733 21409 12267 21409 20800 18542 21067 18350 21600 16821 21600 0 -267 0">
            <v:imagedata r:id="rId7" o:title=""/>
            <w10:wrap type="tight"/>
          </v:shape>
        </w:pict>
      </w:r>
    </w:p>
    <w:p w:rsidR="00DC4CEE" w:rsidRDefault="000C0BE9">
      <w:r>
        <w:rPr>
          <w:noProof/>
          <w:lang w:eastAsia="uk-UA"/>
        </w:rPr>
        <w:pict>
          <v:shape id="_x0000_s1310" type="#_x0000_t202" style="position:absolute;margin-left:408.7pt;margin-top:3.75pt;width:372.7pt;height:481.15pt;z-index:251668480" strokecolor="white">
            <v:textbox>
              <w:txbxContent>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рішення для використання суб’єктом господарювання;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 фіскальний сервер контролюючого органу – програмно-технічний комплекс, через який реалізується фіскальна функція та який здійснює реєстрацію програмних реєстраторів розрахункових операцій, електронних розрахункових документів, електронних фіскальних звітів та електронних фіскальних звітних </w:t>
                  </w:r>
                  <w:proofErr w:type="spellStart"/>
                  <w:r w:rsidRPr="004D79A4">
                    <w:rPr>
                      <w:rFonts w:ascii="Times New Roman" w:hAnsi="Times New Roman"/>
                      <w:sz w:val="26"/>
                      <w:szCs w:val="26"/>
                    </w:rPr>
                    <w:t>чеків</w:t>
                  </w:r>
                  <w:proofErr w:type="spellEnd"/>
                  <w:r w:rsidRPr="004D79A4">
                    <w:rPr>
                      <w:rFonts w:ascii="Times New Roman" w:hAnsi="Times New Roman"/>
                      <w:sz w:val="26"/>
                      <w:szCs w:val="26"/>
                    </w:rPr>
                    <w:t xml:space="preserve">, збереження даних щодо проведеної розрахункової операції у системі обліку даних реєстраторів розрахункових операцій, обробки та надання доступу до інформації про розрахункові операції, проведені з використанням програмних реєстраторів розрахункових операцій, а також інтеграцію з програмними реєстраторами розрахункових операцій через програмний інтерфейс (АРІ), розміщений у відкритому вільному доступі;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 реєстрація електронних розрахункових документів, електронних фіскальних звітів та електронних фіскальних звітних </w:t>
                  </w:r>
                  <w:proofErr w:type="spellStart"/>
                  <w:r w:rsidRPr="004D79A4">
                    <w:rPr>
                      <w:rFonts w:ascii="Times New Roman" w:hAnsi="Times New Roman"/>
                      <w:sz w:val="26"/>
                      <w:szCs w:val="26"/>
                    </w:rPr>
                    <w:t>чеків</w:t>
                  </w:r>
                  <w:proofErr w:type="spellEnd"/>
                  <w:r w:rsidRPr="004D79A4">
                    <w:rPr>
                      <w:rFonts w:ascii="Times New Roman" w:hAnsi="Times New Roman"/>
                      <w:sz w:val="26"/>
                      <w:szCs w:val="26"/>
                    </w:rPr>
                    <w:t xml:space="preserve"> – це: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а) присвоєння реєстратором розрахункових операцій у процесі виконання ним фіскальних функцій фіскального номера електронному розрахунковому документу, електронному фіскальному звіту та електронному фіскальному звітному чеку, що створені таким реєстратором розрахункових операцій, із збереженням даних щодо виконання розрахункової операції у фіскальній пам’яті таких реєстраторів розрахункових операцій; </w:t>
                  </w:r>
                </w:p>
                <w:p w:rsidR="00584C55" w:rsidRDefault="00D462A7" w:rsidP="00D462A7">
                  <w:pPr>
                    <w:spacing w:after="0" w:line="240" w:lineRule="auto"/>
                    <w:jc w:val="both"/>
                  </w:pPr>
                  <w:r w:rsidRPr="004D79A4">
                    <w:rPr>
                      <w:rFonts w:ascii="Times New Roman" w:hAnsi="Times New Roman"/>
                      <w:sz w:val="26"/>
                      <w:szCs w:val="26"/>
                    </w:rPr>
                    <w:t>б) присвоєння програмним забезпеченням фіскального сервера контролюючого органу фіскального номера електронному розрахунковому документу, електронному</w:t>
                  </w:r>
                  <w:r w:rsidRPr="00D462A7">
                    <w:rPr>
                      <w:rFonts w:ascii="Times New Roman" w:hAnsi="Times New Roman"/>
                      <w:sz w:val="26"/>
                      <w:szCs w:val="26"/>
                    </w:rPr>
                    <w:t xml:space="preserve"> </w:t>
                  </w:r>
                  <w:r w:rsidRPr="004D79A4">
                    <w:rPr>
                      <w:rFonts w:ascii="Times New Roman" w:hAnsi="Times New Roman"/>
                      <w:sz w:val="26"/>
                      <w:szCs w:val="26"/>
                    </w:rPr>
                    <w:t>фіскальному звіту</w:t>
                  </w:r>
                  <w:r w:rsidR="00B74FC3" w:rsidRPr="00B74FC3">
                    <w:rPr>
                      <w:rFonts w:ascii="Times New Roman" w:hAnsi="Times New Roman"/>
                      <w:sz w:val="26"/>
                      <w:szCs w:val="26"/>
                    </w:rPr>
                    <w:t xml:space="preserve"> </w:t>
                  </w:r>
                  <w:r w:rsidR="00B74FC3" w:rsidRPr="004D79A4">
                    <w:rPr>
                      <w:rFonts w:ascii="Times New Roman" w:hAnsi="Times New Roman"/>
                      <w:sz w:val="26"/>
                      <w:szCs w:val="26"/>
                    </w:rPr>
                    <w:t>та електронному фіскальному звітному чеку, що створені</w:t>
                  </w:r>
                  <w:r w:rsidR="00B74FC3" w:rsidRPr="00B74FC3">
                    <w:rPr>
                      <w:rFonts w:ascii="Times New Roman" w:hAnsi="Times New Roman"/>
                      <w:sz w:val="26"/>
                      <w:szCs w:val="26"/>
                    </w:rPr>
                    <w:t xml:space="preserve"> </w:t>
                  </w:r>
                  <w:r w:rsidR="00B74FC3" w:rsidRPr="004D79A4">
                    <w:rPr>
                      <w:rFonts w:ascii="Times New Roman" w:hAnsi="Times New Roman"/>
                      <w:sz w:val="26"/>
                      <w:szCs w:val="26"/>
                    </w:rPr>
                    <w:t>програмними реєстраторами розрахункових операцій, із</w:t>
                  </w:r>
                </w:p>
              </w:txbxContent>
            </v:textbox>
          </v:shape>
        </w:pict>
      </w:r>
      <w:r>
        <w:rPr>
          <w:noProof/>
          <w:lang w:eastAsia="uk-UA"/>
        </w:rPr>
        <w:pict>
          <v:shape id="_x0000_s1309" type="#_x0000_t202" style="position:absolute;margin-left:-8.05pt;margin-top:3.75pt;width:369.3pt;height:481.15pt;z-index:251667456" strokecolor="white">
            <v:textbox>
              <w:txbxContent>
                <w:p w:rsidR="00D462A7" w:rsidRPr="004D79A4" w:rsidRDefault="00D462A7" w:rsidP="00B74FC3">
                  <w:pPr>
                    <w:spacing w:line="240" w:lineRule="auto"/>
                    <w:ind w:firstLine="708"/>
                    <w:jc w:val="both"/>
                    <w:rPr>
                      <w:rFonts w:ascii="Times New Roman" w:hAnsi="Times New Roman"/>
                      <w:sz w:val="26"/>
                      <w:szCs w:val="26"/>
                    </w:rPr>
                  </w:pPr>
                  <w:r w:rsidRPr="004D79A4">
                    <w:rPr>
                      <w:rFonts w:ascii="Times New Roman" w:hAnsi="Times New Roman"/>
                      <w:sz w:val="26"/>
                      <w:szCs w:val="26"/>
                    </w:rPr>
                    <w:t xml:space="preserve">Головне управління ДПС у Волинській області нагадує, що 19.10.2019 в офіційному виданні «Голос України» № 200 опубліковано Закон України від 20 вересня 2019 року № 128-ІХ «Про внесення змін до Закону України «Про застосування реєстраторів розрахункових операцій у сфері торгівлі, громадського харчування та послуг» щодо детінізації розрахунків в сфері торгівлі і послуг» (далі – Закон № 128). </w:t>
                  </w:r>
                </w:p>
                <w:p w:rsidR="00D462A7" w:rsidRPr="004D79A4" w:rsidRDefault="00D462A7" w:rsidP="00B74FC3">
                  <w:pPr>
                    <w:spacing w:line="240" w:lineRule="auto"/>
                    <w:ind w:firstLine="708"/>
                    <w:jc w:val="both"/>
                    <w:rPr>
                      <w:rFonts w:ascii="Times New Roman" w:hAnsi="Times New Roman"/>
                      <w:sz w:val="26"/>
                      <w:szCs w:val="26"/>
                    </w:rPr>
                  </w:pPr>
                  <w:r w:rsidRPr="004D79A4">
                    <w:rPr>
                      <w:rFonts w:ascii="Times New Roman" w:hAnsi="Times New Roman"/>
                      <w:sz w:val="26"/>
                      <w:szCs w:val="26"/>
                    </w:rPr>
                    <w:t xml:space="preserve">Закон № 128 визначає правові засади застосування реєстраторів розрахункових операцій (далі – РРО) та програмних РРО у сфері торгівлі, громадського харчування та послуг. 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w:t>
                  </w:r>
                </w:p>
                <w:p w:rsidR="00D462A7" w:rsidRPr="004D79A4" w:rsidRDefault="00D462A7" w:rsidP="00B74FC3">
                  <w:pPr>
                    <w:spacing w:line="240" w:lineRule="auto"/>
                    <w:ind w:firstLine="708"/>
                    <w:jc w:val="both"/>
                    <w:rPr>
                      <w:rFonts w:ascii="Times New Roman" w:hAnsi="Times New Roman"/>
                      <w:sz w:val="26"/>
                      <w:szCs w:val="26"/>
                    </w:rPr>
                  </w:pPr>
                  <w:r w:rsidRPr="004D79A4">
                    <w:rPr>
                      <w:rFonts w:ascii="Times New Roman" w:hAnsi="Times New Roman"/>
                      <w:sz w:val="26"/>
                      <w:szCs w:val="26"/>
                    </w:rPr>
                    <w:t xml:space="preserve">Закон № 128 набирає чинності через 6 місяців, тобто 19.04.2020, за винятком окремих норм. </w:t>
                  </w:r>
                </w:p>
                <w:p w:rsidR="00D462A7" w:rsidRPr="004D79A4" w:rsidRDefault="00D462A7" w:rsidP="00B74FC3">
                  <w:pPr>
                    <w:spacing w:line="240" w:lineRule="auto"/>
                    <w:ind w:firstLine="708"/>
                    <w:jc w:val="both"/>
                    <w:rPr>
                      <w:rFonts w:ascii="Times New Roman" w:hAnsi="Times New Roman"/>
                      <w:sz w:val="26"/>
                      <w:szCs w:val="26"/>
                    </w:rPr>
                  </w:pPr>
                  <w:r w:rsidRPr="004D79A4">
                    <w:rPr>
                      <w:rFonts w:ascii="Times New Roman" w:hAnsi="Times New Roman"/>
                      <w:sz w:val="26"/>
                      <w:szCs w:val="26"/>
                    </w:rPr>
                    <w:t xml:space="preserve">Так, Законом № 128 запроваджено нові поняття, а саме: </w:t>
                  </w:r>
                </w:p>
                <w:p w:rsidR="002B440C" w:rsidRPr="002B440C" w:rsidRDefault="00D462A7" w:rsidP="00D462A7">
                  <w:pPr>
                    <w:spacing w:line="240" w:lineRule="auto"/>
                    <w:jc w:val="both"/>
                    <w:rPr>
                      <w:rFonts w:eastAsia="Calibri"/>
                      <w:sz w:val="18"/>
                      <w:szCs w:val="18"/>
                    </w:rPr>
                  </w:pPr>
                  <w:r w:rsidRPr="004D79A4">
                    <w:rPr>
                      <w:rFonts w:ascii="Times New Roman" w:hAnsi="Times New Roman"/>
                      <w:sz w:val="26"/>
                      <w:szCs w:val="26"/>
                    </w:rPr>
                    <w:t>► програмний реєстратор розрахункових операцій – програмний, програмно-апаратний або програмно-технічний комплекс у вигляді технологічного та/або програмного рішення, що використовується на будь-якому пристрої та в якому фіскальні функції реалізовані через фіскальний сервер контролюючого органу і який призначений для реєстрації розрахункових операцій при продажу товарів (наданні послуг), операцій з торгівлі валютними цінностями в готівковій формі та/або реєстрації кількості проданих товарів (наданих послуг), операцій з приймання готівки для подальшого переказу. Контролюючий орган забезпечує безкоштовне програмне</w:t>
                  </w:r>
                  <w:r w:rsidR="002B440C" w:rsidRPr="002B440C">
                    <w:rPr>
                      <w:rFonts w:ascii="Times New Roman" w:eastAsia="Calibri" w:hAnsi="Times New Roman"/>
                      <w:vanish/>
                      <w:sz w:val="28"/>
                      <w:szCs w:val="28"/>
                    </w:rPr>
                    <w:cr/>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0C0BE9">
      <w:r>
        <w:rPr>
          <w:noProof/>
          <w:lang w:eastAsia="uk-UA"/>
        </w:rPr>
        <w:pict>
          <v:oval id="_x0000_s1301" style="position:absolute;margin-left:165.35pt;margin-top:9.95pt;width:23.25pt;height:23.45pt;z-index:251663360"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251664384" fillcolor="#8db3e2">
            <v:textbox style="mso-next-textbox:#_x0000_s1302">
              <w:txbxContent>
                <w:p w:rsidR="001E2F29" w:rsidRPr="00520BC1" w:rsidRDefault="00520BC1" w:rsidP="001E2F29">
                  <w:pPr>
                    <w:rPr>
                      <w:u w:val="single"/>
                    </w:rPr>
                  </w:pPr>
                  <w:r>
                    <w:rPr>
                      <w:u w:val="single"/>
                    </w:rPr>
                    <w:t>3</w:t>
                  </w:r>
                </w:p>
              </w:txbxContent>
            </v:textbox>
          </v:oval>
        </w:pict>
      </w:r>
    </w:p>
    <w:p w:rsidR="00DC4CEE" w:rsidRDefault="000C0BE9">
      <w:r>
        <w:rPr>
          <w:noProof/>
          <w:lang w:eastAsia="uk-UA"/>
        </w:rPr>
        <w:lastRenderedPageBreak/>
        <w:pict>
          <v:roundrect id="_x0000_s1298" style="position:absolute;margin-left:403.9pt;margin-top:-6.25pt;width:388.3pt;height:537.8pt;z-index:251660288;visibility:visible;v-text-anchor:middle" arcsize="989f" filled="f" strokecolor="navy" strokeweight="5pt">
            <v:stroke linestyle="thinThin" joinstyle="miter"/>
          </v:roundrect>
        </w:pict>
      </w:r>
      <w:r>
        <w:rPr>
          <w:noProof/>
          <w:lang w:eastAsia="uk-UA"/>
        </w:rPr>
        <w:pict>
          <v:roundrect id="_x0000_s1297" style="position:absolute;margin-left:-11.25pt;margin-top:-6.25pt;width:388.3pt;height:537.8pt;z-index:251659264;visibility:visible;v-text-anchor:middle" arcsize="989f" filled="f" strokecolor="navy" strokeweight="5pt">
            <v:stroke linestyle="thinThin" joinstyle="miter"/>
          </v:roundrect>
        </w:pict>
      </w:r>
      <w:r>
        <w:rPr>
          <w:noProof/>
          <w:lang w:eastAsia="uk-UA"/>
        </w:rPr>
        <w:pict>
          <v:shape id="_x0000_s1299" type="#_x0000_t75" style="position:absolute;margin-left:574.6pt;margin-top:-22.45pt;width:42.75pt;height:45.7pt;z-index:251661312;visibility:visible" wrapcoords="-267 0 -267 16821 267 18350 533 18542 9067 21409 9600 21409 11733 21409 12267 21409 20800 18542 21067 18350 21600 16821 21600 0 -267 0">
            <v:imagedata r:id="rId7" o:title=""/>
            <w10:wrap type="tight"/>
          </v:shape>
        </w:pict>
      </w:r>
      <w:r>
        <w:rPr>
          <w:noProof/>
          <w:lang w:eastAsia="uk-UA"/>
        </w:rPr>
        <w:pict>
          <v:shape id="_x0000_s1300" type="#_x0000_t75" style="position:absolute;margin-left:156.35pt;margin-top:-22.45pt;width:42.75pt;height:45.7pt;z-index:251662336;visibility:visible" wrapcoords="-267 0 -267 16821 267 18350 533 18542 9067 21409 9600 21409 11733 21409 12267 21409 20800 18542 21067 18350 21600 16821 21600 0 -267 0">
            <v:imagedata r:id="rId7" o:title=""/>
            <w10:wrap type="tight"/>
          </v:shape>
        </w:pict>
      </w:r>
    </w:p>
    <w:p w:rsidR="00DC4CEE" w:rsidRDefault="000C0BE9">
      <w:r>
        <w:rPr>
          <w:noProof/>
          <w:lang w:eastAsia="uk-UA"/>
        </w:rPr>
        <w:pict>
          <v:shape id="_x0000_s1312" type="#_x0000_t202" style="position:absolute;margin-left:413.8pt;margin-top:5.45pt;width:368.45pt;height:482pt;z-index:251670528" strokecolor="white">
            <v:textbox>
              <w:txbxContent>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фіскальному звіту та електронному фіскальному звітному чеку під час їх реєстрації;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 електронний розрахунковий документ – це: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а) документ, створений реєстратором розрахункових операцій, який</w:t>
                  </w:r>
                  <w:r w:rsidR="00B74FC3" w:rsidRPr="00B74FC3">
                    <w:rPr>
                      <w:rFonts w:ascii="Times New Roman" w:hAnsi="Times New Roman"/>
                      <w:sz w:val="26"/>
                      <w:szCs w:val="26"/>
                      <w:lang w:val="ru-RU"/>
                    </w:rPr>
                    <w:t xml:space="preserve"> </w:t>
                  </w:r>
                  <w:r w:rsidRPr="004D79A4">
                    <w:rPr>
                      <w:rFonts w:ascii="Times New Roman" w:hAnsi="Times New Roman"/>
                      <w:sz w:val="26"/>
                      <w:szCs w:val="26"/>
                    </w:rPr>
                    <w:t xml:space="preserve">переведено у фіскальний режим роботи, у момент проведення розрахункової операції, інформація в якому зафіксована у вигляді електронних даних, включаючи обов’язкові реквізити розрахункового документа за встановленою формою; </w:t>
                  </w:r>
                </w:p>
                <w:p w:rsidR="00CB0417" w:rsidRDefault="00D462A7" w:rsidP="00B74FC3">
                  <w:pPr>
                    <w:spacing w:line="240" w:lineRule="auto"/>
                    <w:jc w:val="both"/>
                    <w:rPr>
                      <w:rFonts w:ascii="Times New Roman" w:hAnsi="Times New Roman"/>
                      <w:sz w:val="26"/>
                      <w:szCs w:val="26"/>
                    </w:rPr>
                  </w:pPr>
                  <w:r w:rsidRPr="004D79A4">
                    <w:rPr>
                      <w:rFonts w:ascii="Times New Roman" w:hAnsi="Times New Roman"/>
                      <w:sz w:val="26"/>
                      <w:szCs w:val="26"/>
                    </w:rPr>
                    <w:t xml:space="preserve">б) документ, створений </w:t>
                  </w:r>
                  <w:r w:rsidRPr="00A47699">
                    <w:rPr>
                      <w:rFonts w:ascii="Times New Roman" w:hAnsi="Times New Roman"/>
                      <w:sz w:val="26"/>
                      <w:szCs w:val="26"/>
                    </w:rPr>
                    <w:t>програмним реєстратором розрахункових операцій у момент проведення розрахункової операції та зареєстрований фіскальним сервером контролюючого органу із</w:t>
                  </w:r>
                  <w:r w:rsidRPr="004D79A4">
                    <w:rPr>
                      <w:rFonts w:ascii="Times New Roman" w:hAnsi="Times New Roman"/>
                      <w:sz w:val="26"/>
                      <w:szCs w:val="26"/>
                    </w:rPr>
                    <w:t xml:space="preserve"> присвоєнням йому фіскального номера фіскальним сервером контролюючого органу або присвоєнням йому фіскального номера із діапазону номерів, сформованих фіскальним сервером, інформація в якому зафіксована у вигляді електронних даних,</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включаючи обов’язкові реквізити розрахункового документа за встановленою формою;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 електронний фіскальний звітний чек – це: </w:t>
                  </w:r>
                </w:p>
                <w:p w:rsidR="00B74FC3" w:rsidRPr="004D79A4" w:rsidRDefault="00D462A7" w:rsidP="00B74FC3">
                  <w:pPr>
                    <w:spacing w:line="240" w:lineRule="auto"/>
                    <w:jc w:val="both"/>
                    <w:rPr>
                      <w:rFonts w:ascii="Times New Roman" w:hAnsi="Times New Roman"/>
                      <w:sz w:val="26"/>
                      <w:szCs w:val="26"/>
                    </w:rPr>
                  </w:pPr>
                  <w:r w:rsidRPr="004D79A4">
                    <w:rPr>
                      <w:rFonts w:ascii="Times New Roman" w:hAnsi="Times New Roman"/>
                      <w:sz w:val="26"/>
                      <w:szCs w:val="26"/>
                    </w:rPr>
                    <w:t>а) документ, створений реєстратором розрахункових операцій,</w:t>
                  </w:r>
                  <w:r w:rsidR="00B74FC3" w:rsidRPr="00B74FC3">
                    <w:rPr>
                      <w:rFonts w:ascii="Times New Roman" w:hAnsi="Times New Roman"/>
                      <w:sz w:val="26"/>
                      <w:szCs w:val="26"/>
                    </w:rPr>
                    <w:t xml:space="preserve"> </w:t>
                  </w:r>
                  <w:r w:rsidR="00B74FC3" w:rsidRPr="004D79A4">
                    <w:rPr>
                      <w:rFonts w:ascii="Times New Roman" w:hAnsi="Times New Roman"/>
                      <w:sz w:val="26"/>
                      <w:szCs w:val="26"/>
                    </w:rPr>
                    <w:t xml:space="preserve">який переведено у фіскальний режим роботи, що містить дані денного звіту, інформація в якому зафіксована у вигляді електронних даних, включаючи обов’язкові реквізити фіскального звітного чека за встановленою формою; </w:t>
                  </w:r>
                </w:p>
                <w:p w:rsidR="00D462A7" w:rsidRDefault="00B74FC3" w:rsidP="00D462A7">
                  <w:r w:rsidRPr="004D79A4">
                    <w:rPr>
                      <w:rFonts w:ascii="Times New Roman" w:hAnsi="Times New Roman"/>
                      <w:sz w:val="26"/>
                      <w:szCs w:val="26"/>
                    </w:rPr>
                    <w:t>б) документ, створений програмним реєстратором розрахункових операцій, що містить дані денного звіту,</w:t>
                  </w:r>
                </w:p>
              </w:txbxContent>
            </v:textbox>
          </v:shape>
        </w:pict>
      </w:r>
      <w:r>
        <w:rPr>
          <w:noProof/>
          <w:lang w:eastAsia="uk-UA"/>
        </w:rPr>
        <w:pict>
          <v:shape id="_x0000_s1311" type="#_x0000_t202" style="position:absolute;margin-left:-2.1pt;margin-top:5.45pt;width:365.05pt;height:482pt;z-index:251669504" strokecolor="white">
            <v:textbox>
              <w:txbxContent>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збереженням даних щодо виконання розрахункової операції у системі обліку даних реєстраторів розрахункових операцій;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 реєстр програмних реєстраторів розрахункових операцій – реєстр, який ведеться центральним органом виконавчої влади, що реалізує державну </w:t>
                  </w:r>
                  <w:r w:rsidRPr="00A47699">
                    <w:rPr>
                      <w:rFonts w:ascii="Times New Roman" w:hAnsi="Times New Roman"/>
                      <w:sz w:val="26"/>
                      <w:szCs w:val="26"/>
                    </w:rPr>
                    <w:t>податкову політику, до якого вносяться програмні реєстратори розрахункових операцій в момент присвоєння їм фіскального номера фіскальним сервером контролюючого органу, а також відомості про суб’єкта</w:t>
                  </w:r>
                  <w:r w:rsidRPr="004D79A4">
                    <w:rPr>
                      <w:rFonts w:ascii="Times New Roman" w:hAnsi="Times New Roman"/>
                      <w:sz w:val="26"/>
                      <w:szCs w:val="26"/>
                    </w:rPr>
                    <w:t xml:space="preserve"> господарювання та його господарські одиниці, де застосовуються такі реєстратори, дані сертифікатів електронних підписів та/або печаток, що використовуються такими реєстраторами; </w:t>
                  </w:r>
                </w:p>
                <w:p w:rsidR="00D462A7" w:rsidRPr="004D79A4"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 реєстрація програмного реєстратора розрахункових операцій – присвоєння програмним забезпеченням фіскального сервера контролюючого органу фіскального номера програмному реєстратору розрахункових операцій із внесенням даних до реєстру програмних реєстраторів розрахункових операцій; </w:t>
                  </w:r>
                </w:p>
                <w:p w:rsidR="00D462A7" w:rsidRDefault="00D462A7" w:rsidP="00D462A7">
                  <w:pPr>
                    <w:spacing w:line="240" w:lineRule="auto"/>
                    <w:jc w:val="both"/>
                    <w:rPr>
                      <w:rFonts w:ascii="Times New Roman" w:hAnsi="Times New Roman"/>
                      <w:sz w:val="26"/>
                      <w:szCs w:val="26"/>
                    </w:rPr>
                  </w:pPr>
                  <w:r w:rsidRPr="004D79A4">
                    <w:rPr>
                      <w:rFonts w:ascii="Times New Roman" w:hAnsi="Times New Roman"/>
                      <w:sz w:val="26"/>
                      <w:szCs w:val="26"/>
                    </w:rPr>
                    <w:t xml:space="preserve">► фіскальний номер програмного реєстратора розрахункових операцій – унікальний код, що формується фіскальним сервером контролюючого органу та присвоюється програмному реєстратору розрахункових операцій під час реєстрації для його ідентифікації; </w:t>
                  </w:r>
                </w:p>
                <w:p w:rsidR="00F37AC5" w:rsidRPr="00B74FC3" w:rsidRDefault="00D462A7" w:rsidP="00D462A7">
                  <w:pPr>
                    <w:spacing w:line="240" w:lineRule="auto"/>
                    <w:jc w:val="both"/>
                    <w:rPr>
                      <w:lang w:val="ru-RU"/>
                    </w:rPr>
                  </w:pPr>
                  <w:r w:rsidRPr="004D79A4">
                    <w:rPr>
                      <w:rFonts w:ascii="Times New Roman" w:hAnsi="Times New Roman"/>
                      <w:sz w:val="26"/>
                      <w:szCs w:val="26"/>
                    </w:rPr>
                    <w:t xml:space="preserve">► фіскальний номер електронного розрахункового документа, електронного </w:t>
                  </w:r>
                  <w:proofErr w:type="spellStart"/>
                  <w:r w:rsidRPr="004D79A4">
                    <w:rPr>
                      <w:rFonts w:ascii="Times New Roman" w:hAnsi="Times New Roman"/>
                      <w:sz w:val="26"/>
                      <w:szCs w:val="26"/>
                    </w:rPr>
                    <w:t>іскального</w:t>
                  </w:r>
                  <w:proofErr w:type="spellEnd"/>
                  <w:r w:rsidRPr="004D79A4">
                    <w:rPr>
                      <w:rFonts w:ascii="Times New Roman" w:hAnsi="Times New Roman"/>
                      <w:sz w:val="26"/>
                      <w:szCs w:val="26"/>
                    </w:rPr>
                    <w:t xml:space="preserve"> звіту та електронного фіскального звітного  чека – унікальний код, що формується</w:t>
                  </w:r>
                  <w:r w:rsidR="00B74FC3" w:rsidRPr="00B74FC3">
                    <w:rPr>
                      <w:rFonts w:ascii="Times New Roman" w:hAnsi="Times New Roman"/>
                      <w:sz w:val="26"/>
                      <w:szCs w:val="26"/>
                      <w:lang w:val="ru-RU"/>
                    </w:rPr>
                    <w:t xml:space="preserve"> </w:t>
                  </w:r>
                  <w:r w:rsidR="00B74FC3" w:rsidRPr="004D79A4">
                    <w:rPr>
                      <w:rFonts w:ascii="Times New Roman" w:hAnsi="Times New Roman"/>
                      <w:sz w:val="26"/>
                      <w:szCs w:val="26"/>
                    </w:rPr>
                    <w:t>реєстратором розрахункових операцій або фіскальним сервером контролюючого органу та присвоюється</w:t>
                  </w:r>
                  <w:r w:rsidR="00B74FC3" w:rsidRPr="00B74FC3">
                    <w:rPr>
                      <w:rFonts w:ascii="Times New Roman" w:hAnsi="Times New Roman"/>
                      <w:sz w:val="26"/>
                      <w:szCs w:val="26"/>
                    </w:rPr>
                    <w:t xml:space="preserve"> </w:t>
                  </w:r>
                  <w:r w:rsidR="00B74FC3" w:rsidRPr="004D79A4">
                    <w:rPr>
                      <w:rFonts w:ascii="Times New Roman" w:hAnsi="Times New Roman"/>
                      <w:sz w:val="26"/>
                      <w:szCs w:val="26"/>
                    </w:rPr>
                    <w:t>електронному</w:t>
                  </w:r>
                  <w:r w:rsidR="00B74FC3" w:rsidRPr="00B74FC3">
                    <w:rPr>
                      <w:rFonts w:ascii="Times New Roman" w:hAnsi="Times New Roman"/>
                      <w:sz w:val="26"/>
                      <w:szCs w:val="26"/>
                    </w:rPr>
                    <w:t xml:space="preserve"> </w:t>
                  </w:r>
                  <w:r w:rsidR="00B74FC3" w:rsidRPr="004D79A4">
                    <w:rPr>
                      <w:rFonts w:ascii="Times New Roman" w:hAnsi="Times New Roman"/>
                      <w:sz w:val="26"/>
                      <w:szCs w:val="26"/>
                    </w:rPr>
                    <w:t>розрахунковому документу, електронному фіскальному звіту</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0C0BE9">
      <w:pPr>
        <w:rPr>
          <w:lang w:val="ru-RU"/>
        </w:rPr>
      </w:pPr>
      <w:r>
        <w:rPr>
          <w:noProof/>
          <w:lang w:eastAsia="uk-UA"/>
        </w:rPr>
        <w:pict>
          <v:oval id="_x0000_s1306" style="position:absolute;margin-left:588.3pt;margin-top:9.95pt;width:23.25pt;height:23.45pt;z-index:251666432" fillcolor="#8db3e2">
            <v:textbox style="mso-next-textbox:#_x0000_s1306">
              <w:txbxContent>
                <w:p w:rsidR="00254FF1" w:rsidRPr="00520BC1" w:rsidRDefault="00520BC1" w:rsidP="00254FF1">
                  <w:pPr>
                    <w:rPr>
                      <w:u w:val="single"/>
                    </w:rPr>
                  </w:pPr>
                  <w:r>
                    <w:rPr>
                      <w:u w:val="single"/>
                    </w:rPr>
                    <w:t>5</w:t>
                  </w:r>
                </w:p>
              </w:txbxContent>
            </v:textbox>
          </v:oval>
        </w:pict>
      </w:r>
      <w:r>
        <w:rPr>
          <w:noProof/>
          <w:lang w:eastAsia="uk-UA"/>
        </w:rPr>
        <w:pict>
          <v:oval id="_x0000_s1305" style="position:absolute;margin-left:169.25pt;margin-top:9.95pt;width:23.25pt;height:23.45pt;z-index:251665408" fillcolor="#8db3e2">
            <v:textbox style="mso-next-textbox:#_x0000_s1305">
              <w:txbxContent>
                <w:p w:rsidR="00254FF1" w:rsidRPr="00520BC1" w:rsidRDefault="00520BC1" w:rsidP="00254FF1">
                  <w:pPr>
                    <w:rPr>
                      <w:u w:val="single"/>
                    </w:rPr>
                  </w:pPr>
                  <w:r>
                    <w:rPr>
                      <w:u w:val="single"/>
                    </w:rPr>
                    <w:t>4</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5"/>
  </w:num>
  <w:num w:numId="4">
    <w:abstractNumId w:val="17"/>
  </w:num>
  <w:num w:numId="5">
    <w:abstractNumId w:val="12"/>
  </w:num>
  <w:num w:numId="6">
    <w:abstractNumId w:val="16"/>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0"/>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4386F"/>
    <w:rsid w:val="000569F6"/>
    <w:rsid w:val="00071C57"/>
    <w:rsid w:val="00083860"/>
    <w:rsid w:val="000955E8"/>
    <w:rsid w:val="000A16E2"/>
    <w:rsid w:val="000A5719"/>
    <w:rsid w:val="000B00B0"/>
    <w:rsid w:val="000B46E9"/>
    <w:rsid w:val="000B7872"/>
    <w:rsid w:val="000C0BE9"/>
    <w:rsid w:val="000C3528"/>
    <w:rsid w:val="000C5394"/>
    <w:rsid w:val="000C549F"/>
    <w:rsid w:val="000C67F0"/>
    <w:rsid w:val="000C6FF9"/>
    <w:rsid w:val="000E2BB4"/>
    <w:rsid w:val="000F0E8F"/>
    <w:rsid w:val="001029F3"/>
    <w:rsid w:val="00105EC5"/>
    <w:rsid w:val="0011043C"/>
    <w:rsid w:val="0012797A"/>
    <w:rsid w:val="00134A21"/>
    <w:rsid w:val="00136364"/>
    <w:rsid w:val="00141553"/>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212F"/>
    <w:rsid w:val="00215A69"/>
    <w:rsid w:val="002208B7"/>
    <w:rsid w:val="0022498D"/>
    <w:rsid w:val="0022740A"/>
    <w:rsid w:val="00233795"/>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5773E"/>
    <w:rsid w:val="00362414"/>
    <w:rsid w:val="003660AD"/>
    <w:rsid w:val="0037551C"/>
    <w:rsid w:val="00376A18"/>
    <w:rsid w:val="003814E8"/>
    <w:rsid w:val="00390E57"/>
    <w:rsid w:val="003A5040"/>
    <w:rsid w:val="003D52D7"/>
    <w:rsid w:val="003E4BE8"/>
    <w:rsid w:val="003E7E0E"/>
    <w:rsid w:val="003F4AF4"/>
    <w:rsid w:val="00400221"/>
    <w:rsid w:val="00403DDE"/>
    <w:rsid w:val="00406E96"/>
    <w:rsid w:val="00423AB9"/>
    <w:rsid w:val="00424015"/>
    <w:rsid w:val="00430379"/>
    <w:rsid w:val="00432AF3"/>
    <w:rsid w:val="00440693"/>
    <w:rsid w:val="004416E9"/>
    <w:rsid w:val="00460579"/>
    <w:rsid w:val="0046327A"/>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714BB"/>
    <w:rsid w:val="00584C55"/>
    <w:rsid w:val="00585865"/>
    <w:rsid w:val="00595206"/>
    <w:rsid w:val="005975C0"/>
    <w:rsid w:val="005A7938"/>
    <w:rsid w:val="005B2E53"/>
    <w:rsid w:val="005B3F93"/>
    <w:rsid w:val="005B79FA"/>
    <w:rsid w:val="005C2E1A"/>
    <w:rsid w:val="005C5960"/>
    <w:rsid w:val="005D776A"/>
    <w:rsid w:val="005E3FFA"/>
    <w:rsid w:val="00601BBB"/>
    <w:rsid w:val="0061674C"/>
    <w:rsid w:val="00617B7D"/>
    <w:rsid w:val="00655F13"/>
    <w:rsid w:val="00657535"/>
    <w:rsid w:val="006779C9"/>
    <w:rsid w:val="006838B8"/>
    <w:rsid w:val="006861CD"/>
    <w:rsid w:val="006908FF"/>
    <w:rsid w:val="00691330"/>
    <w:rsid w:val="0069199E"/>
    <w:rsid w:val="006A055F"/>
    <w:rsid w:val="006A3DEB"/>
    <w:rsid w:val="006A6954"/>
    <w:rsid w:val="006C0CBE"/>
    <w:rsid w:val="006C5DB4"/>
    <w:rsid w:val="006D06EE"/>
    <w:rsid w:val="006D5CF6"/>
    <w:rsid w:val="006E223F"/>
    <w:rsid w:val="006F71C5"/>
    <w:rsid w:val="00702230"/>
    <w:rsid w:val="00705B01"/>
    <w:rsid w:val="007116B7"/>
    <w:rsid w:val="00711932"/>
    <w:rsid w:val="00714655"/>
    <w:rsid w:val="00726F02"/>
    <w:rsid w:val="00732BF6"/>
    <w:rsid w:val="007368C3"/>
    <w:rsid w:val="00740E3F"/>
    <w:rsid w:val="00743BD4"/>
    <w:rsid w:val="007449BA"/>
    <w:rsid w:val="00744C0A"/>
    <w:rsid w:val="00751764"/>
    <w:rsid w:val="00761D2B"/>
    <w:rsid w:val="00762558"/>
    <w:rsid w:val="007705BF"/>
    <w:rsid w:val="007801E2"/>
    <w:rsid w:val="00784C09"/>
    <w:rsid w:val="007879D9"/>
    <w:rsid w:val="007928CF"/>
    <w:rsid w:val="007A1BC2"/>
    <w:rsid w:val="007A6D88"/>
    <w:rsid w:val="007C2DEB"/>
    <w:rsid w:val="007D4F5D"/>
    <w:rsid w:val="007E23C6"/>
    <w:rsid w:val="007E4016"/>
    <w:rsid w:val="007E58DC"/>
    <w:rsid w:val="008070EA"/>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4"/>
    <w:rsid w:val="00877201"/>
    <w:rsid w:val="00884D91"/>
    <w:rsid w:val="0088713D"/>
    <w:rsid w:val="008A58A5"/>
    <w:rsid w:val="008A7D57"/>
    <w:rsid w:val="008E0540"/>
    <w:rsid w:val="008E39E4"/>
    <w:rsid w:val="008E4532"/>
    <w:rsid w:val="008E79B0"/>
    <w:rsid w:val="008F0EC7"/>
    <w:rsid w:val="008F1D61"/>
    <w:rsid w:val="008F4AE2"/>
    <w:rsid w:val="00900AE3"/>
    <w:rsid w:val="0090169D"/>
    <w:rsid w:val="0091362C"/>
    <w:rsid w:val="00916497"/>
    <w:rsid w:val="0092583B"/>
    <w:rsid w:val="009342D2"/>
    <w:rsid w:val="00947D9E"/>
    <w:rsid w:val="009747C6"/>
    <w:rsid w:val="00974BA2"/>
    <w:rsid w:val="00976DD6"/>
    <w:rsid w:val="00982DBC"/>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47699"/>
    <w:rsid w:val="00A54D5A"/>
    <w:rsid w:val="00A62AF7"/>
    <w:rsid w:val="00A8288F"/>
    <w:rsid w:val="00A92B22"/>
    <w:rsid w:val="00AA04EE"/>
    <w:rsid w:val="00AA1F81"/>
    <w:rsid w:val="00AB302E"/>
    <w:rsid w:val="00AB5666"/>
    <w:rsid w:val="00AC06B0"/>
    <w:rsid w:val="00AC1838"/>
    <w:rsid w:val="00AC5BA9"/>
    <w:rsid w:val="00AD5B34"/>
    <w:rsid w:val="00AE3220"/>
    <w:rsid w:val="00AE35A2"/>
    <w:rsid w:val="00AE38AC"/>
    <w:rsid w:val="00AE58CF"/>
    <w:rsid w:val="00B02A98"/>
    <w:rsid w:val="00B10009"/>
    <w:rsid w:val="00B12216"/>
    <w:rsid w:val="00B24109"/>
    <w:rsid w:val="00B30BBE"/>
    <w:rsid w:val="00B5144E"/>
    <w:rsid w:val="00B53BC2"/>
    <w:rsid w:val="00B56FC0"/>
    <w:rsid w:val="00B6207E"/>
    <w:rsid w:val="00B74FC3"/>
    <w:rsid w:val="00B76281"/>
    <w:rsid w:val="00B93682"/>
    <w:rsid w:val="00B97752"/>
    <w:rsid w:val="00BA2E82"/>
    <w:rsid w:val="00BA37B6"/>
    <w:rsid w:val="00BB0BCE"/>
    <w:rsid w:val="00BB2E0C"/>
    <w:rsid w:val="00BB6642"/>
    <w:rsid w:val="00BC20C8"/>
    <w:rsid w:val="00BC3BFC"/>
    <w:rsid w:val="00BF2A7B"/>
    <w:rsid w:val="00BF4E4B"/>
    <w:rsid w:val="00C00FC6"/>
    <w:rsid w:val="00C114CB"/>
    <w:rsid w:val="00C2119F"/>
    <w:rsid w:val="00C235D8"/>
    <w:rsid w:val="00C25950"/>
    <w:rsid w:val="00C2725F"/>
    <w:rsid w:val="00C42C9F"/>
    <w:rsid w:val="00C46758"/>
    <w:rsid w:val="00C57F7E"/>
    <w:rsid w:val="00C847CB"/>
    <w:rsid w:val="00C87711"/>
    <w:rsid w:val="00C90797"/>
    <w:rsid w:val="00CA0DFF"/>
    <w:rsid w:val="00CA1A4A"/>
    <w:rsid w:val="00CA78CC"/>
    <w:rsid w:val="00CB0417"/>
    <w:rsid w:val="00CB4281"/>
    <w:rsid w:val="00CC28BB"/>
    <w:rsid w:val="00CE6163"/>
    <w:rsid w:val="00CF6F80"/>
    <w:rsid w:val="00D15B9A"/>
    <w:rsid w:val="00D21462"/>
    <w:rsid w:val="00D309B7"/>
    <w:rsid w:val="00D30FF2"/>
    <w:rsid w:val="00D462A7"/>
    <w:rsid w:val="00D55CE5"/>
    <w:rsid w:val="00D562BB"/>
    <w:rsid w:val="00D62AB7"/>
    <w:rsid w:val="00D64DE9"/>
    <w:rsid w:val="00D670CF"/>
    <w:rsid w:val="00D84D59"/>
    <w:rsid w:val="00D8654F"/>
    <w:rsid w:val="00D90DFD"/>
    <w:rsid w:val="00D95CF2"/>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13CE8"/>
    <w:rsid w:val="00F22482"/>
    <w:rsid w:val="00F30596"/>
    <w:rsid w:val="00F37AC5"/>
    <w:rsid w:val="00F42B16"/>
    <w:rsid w:val="00F43A7D"/>
    <w:rsid w:val="00F45886"/>
    <w:rsid w:val="00F51A6F"/>
    <w:rsid w:val="00F55EFE"/>
    <w:rsid w:val="00F56E21"/>
    <w:rsid w:val="00F617CF"/>
    <w:rsid w:val="00F67AC3"/>
    <w:rsid w:val="00F8420D"/>
    <w:rsid w:val="00F87D3A"/>
    <w:rsid w:val="00FB059D"/>
    <w:rsid w:val="00FB6584"/>
    <w:rsid w:val="00FC04CF"/>
    <w:rsid w:val="00FC39FC"/>
    <w:rsid w:val="00FD23D5"/>
    <w:rsid w:val="00FE0531"/>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80E3-BAC2-4B3D-8BCC-AC64D041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58</Words>
  <Characters>34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testpk</cp:lastModifiedBy>
  <cp:revision>17</cp:revision>
  <cp:lastPrinted>2019-10-22T09:29:00Z</cp:lastPrinted>
  <dcterms:created xsi:type="dcterms:W3CDTF">2019-12-03T10:28:00Z</dcterms:created>
  <dcterms:modified xsi:type="dcterms:W3CDTF">2019-12-05T14:20:00Z</dcterms:modified>
</cp:coreProperties>
</file>