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2614FA"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25165004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2096;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1072;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3904;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46976;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251648000"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2880"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9A1FA9" w:rsidRDefault="00D168EE" w:rsidP="009A1FA9">
                    <w:pPr>
                      <w:pStyle w:val="1"/>
                      <w:spacing w:before="0" w:beforeAutospacing="0" w:after="0" w:afterAutospacing="0"/>
                      <w:jc w:val="center"/>
                      <w:rPr>
                        <w:sz w:val="60"/>
                        <w:szCs w:val="60"/>
                        <w:lang w:val="uk-UA" w:eastAsia="uk-UA"/>
                      </w:rPr>
                    </w:pPr>
                    <w:r w:rsidRPr="009A1FA9">
                      <w:rPr>
                        <w:sz w:val="60"/>
                        <w:szCs w:val="60"/>
                        <w:lang w:val="uk-UA" w:eastAsia="uk-UA"/>
                      </w:rPr>
                      <w:t xml:space="preserve">Актуальні </w:t>
                    </w:r>
                  </w:p>
                  <w:p w:rsidR="002D5D6F" w:rsidRPr="009A1FA9" w:rsidRDefault="00D168EE" w:rsidP="009A1FA9">
                    <w:pPr>
                      <w:pStyle w:val="1"/>
                      <w:spacing w:before="0" w:beforeAutospacing="0" w:after="0" w:afterAutospacing="0"/>
                      <w:jc w:val="center"/>
                      <w:rPr>
                        <w:color w:val="17365D"/>
                        <w:sz w:val="60"/>
                        <w:szCs w:val="60"/>
                      </w:rPr>
                    </w:pPr>
                    <w:r w:rsidRPr="009A1FA9">
                      <w:rPr>
                        <w:sz w:val="60"/>
                        <w:szCs w:val="60"/>
                        <w:lang w:val="uk-UA" w:eastAsia="uk-UA"/>
                      </w:rPr>
                      <w:t>питання – відповіді</w:t>
                    </w:r>
                    <w:r w:rsidRPr="009A1FA9">
                      <w:rPr>
                        <w:sz w:val="60"/>
                        <w:szCs w:val="60"/>
                      </w:rPr>
                      <w:t xml:space="preserve"> </w:t>
                    </w:r>
                    <w:r w:rsidRPr="009A1FA9">
                      <w:rPr>
                        <w:sz w:val="60"/>
                        <w:szCs w:val="60"/>
                        <w:lang w:val="uk-UA"/>
                      </w:rPr>
                      <w:t>щодо використання п</w:t>
                    </w:r>
                    <w:r w:rsidRPr="009A1FA9">
                      <w:rPr>
                        <w:sz w:val="60"/>
                        <w:szCs w:val="60"/>
                      </w:rPr>
                      <w:t>рограмн</w:t>
                    </w:r>
                    <w:r w:rsidRPr="009A1FA9">
                      <w:rPr>
                        <w:sz w:val="60"/>
                        <w:szCs w:val="60"/>
                        <w:lang w:val="uk-UA"/>
                      </w:rPr>
                      <w:t>их</w:t>
                    </w:r>
                    <w:r w:rsidRPr="009A1FA9">
                      <w:rPr>
                        <w:sz w:val="60"/>
                        <w:szCs w:val="60"/>
                      </w:rPr>
                      <w:t xml:space="preserve"> РРО</w:t>
                    </w:r>
                  </w:p>
                </w:txbxContent>
              </v:textbox>
            </v:shape>
          </v:group>
        </w:pict>
      </w:r>
      <w:r>
        <w:rPr>
          <w:noProof/>
          <w:lang w:val="ru-RU" w:eastAsia="ru-RU"/>
        </w:rPr>
        <w:pict>
          <v:line id="Прямая соединительная линия 6" o:spid="_x0000_s1253" style="position:absolute;flip:y;z-index:251649024;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B00BA6" w:rsidP="00CC28BB">
                  <w:pPr>
                    <w:rPr>
                      <w:i/>
                      <w:sz w:val="16"/>
                    </w:rPr>
                  </w:pPr>
                  <w:r>
                    <w:rPr>
                      <w:i/>
                      <w:sz w:val="16"/>
                    </w:rPr>
                    <w:t>січень 2020</w:t>
                  </w:r>
                  <w:r w:rsidR="005506B3">
                    <w:rPr>
                      <w:i/>
                      <w:sz w:val="16"/>
                    </w:rPr>
                    <w:t xml:space="preserve"> року</w:t>
                  </w:r>
                </w:p>
                <w:p w:rsidR="001428D3" w:rsidRPr="00CC28BB" w:rsidRDefault="001428D3" w:rsidP="00CC28BB"/>
              </w:txbxContent>
            </v:textbox>
          </v:shape>
        </w:pict>
      </w:r>
    </w:p>
    <w:p w:rsidR="001428D3" w:rsidRDefault="002614FA">
      <w:r>
        <w:rPr>
          <w:noProof/>
          <w:lang w:eastAsia="uk-UA"/>
        </w:rPr>
        <w:pict>
          <v:shape id="_x0000_s1313" type="#_x0000_t202" style="position:absolute;margin-left:-4.65pt;margin-top:9.7pt;width:371.85pt;height:425.6pt;z-index:251671552;mso-wrap-style:none" strokecolor="white">
            <v:textbox style="mso-next-textbox:#_x0000_s1313;mso-fit-shape-to-text:t">
              <w:txbxContent>
                <w:p w:rsidR="00550B0B" w:rsidRDefault="002614FA" w:rsidP="000955E8">
                  <w:pPr>
                    <w:shd w:val="clear" w:color="auto" w:fill="FFFFFF"/>
                  </w:pPr>
                  <w:r>
                    <w:pict>
                      <v:shape id="_x0000_i1026" type="#_x0000_t75" style="width:5in;height:301.55pt">
                        <v:imagedata r:id="rId8" o:title="Презентация Microsoft PowerPoint"/>
                      </v:shape>
                    </w:pict>
                  </w: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2614FA">
      <w:r>
        <w:rPr>
          <w:noProof/>
          <w:lang w:eastAsia="uk-UA"/>
        </w:rPr>
        <w:pict>
          <v:shape id="Поле 11" o:spid="_x0000_s1037" type="#_x0000_t202" style="position:absolute;margin-left:-14.45pt;margin-top:2.8pt;width:388.3pt;height:49.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Територіальні органи ДПС у Волинській області:</w:t>
                  </w:r>
                  <w:proofErr w:type="spellStart"/>
                  <w:r w:rsidRPr="00FE0531">
                    <w:rPr>
                      <w:rStyle w:val="a8"/>
                      <w:spacing w:val="-4"/>
                      <w:sz w:val="18"/>
                      <w:szCs w:val="18"/>
                      <w:lang w:val="en-US"/>
                    </w:rPr>
                    <w:t>vl.tax</w:t>
                  </w:r>
                  <w:proofErr w:type="spellEnd"/>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09544C">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2614FA">
      <w:r>
        <w:rPr>
          <w:noProof/>
          <w:lang w:eastAsia="uk-UA"/>
        </w:rPr>
        <w:pict>
          <v:oval id="_x0000_s1296" style="position:absolute;margin-left:159.65pt;margin-top:34.1pt;width:23.25pt;height:23.45pt;z-index:251658240" fillcolor="#8db3e2">
            <v:textbox style="mso-next-textbox:#_x0000_s1296">
              <w:txbxContent>
                <w:p w:rsidR="004A3DA8" w:rsidRPr="00F67AC3" w:rsidRDefault="00F67AC3" w:rsidP="004A3DA8">
                  <w:pPr>
                    <w:rPr>
                      <w:u w:val="single"/>
                    </w:rPr>
                  </w:pPr>
                  <w:r>
                    <w:rPr>
                      <w:u w:val="single"/>
                    </w:rPr>
                    <w:t>6</w:t>
                  </w:r>
                </w:p>
              </w:txbxContent>
            </v:textbox>
          </v:oval>
        </w:pict>
      </w:r>
      <w:r>
        <w:rPr>
          <w:noProof/>
          <w:lang w:eastAsia="uk-UA"/>
        </w:rPr>
        <w:pict>
          <v:oval id="_x0000_s1295" style="position:absolute;margin-left:581.35pt;margin-top:34.1pt;width:23.25pt;height:23.45pt;z-index:251657216"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2614FA">
      <w:r>
        <w:rPr>
          <w:noProof/>
          <w:lang w:eastAsia="uk-UA"/>
        </w:rPr>
        <w:lastRenderedPageBreak/>
        <w:pict>
          <v:shape id="_x0000_s1294" type="#_x0000_t75" style="position:absolute;margin-left:576.2pt;margin-top:-22.7pt;width:42.75pt;height:45.7pt;z-index:251656192;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4144;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3120;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5168;visibility:visible" wrapcoords="-267 0 -267 16821 267 18350 533 18542 9067 21409 9600 21409 11733 21409 12267 21409 20800 18542 21067 18350 21600 16821 21600 0 -267 0">
            <v:imagedata r:id="rId7" o:title=""/>
            <w10:wrap type="tight"/>
          </v:shape>
        </w:pict>
      </w:r>
    </w:p>
    <w:p w:rsidR="00DC4CEE" w:rsidRDefault="002614FA">
      <w:r>
        <w:rPr>
          <w:noProof/>
          <w:lang w:eastAsia="uk-UA"/>
        </w:rPr>
        <w:pict>
          <v:shape id="_x0000_s1310" type="#_x0000_t202" style="position:absolute;margin-left:408.7pt;margin-top:3.75pt;width:372.7pt;height:481.15pt;z-index:251668480" strokecolor="white">
            <v:textbox>
              <w:txbxContent>
                <w:p w:rsidR="0052052C" w:rsidRPr="00B70713" w:rsidRDefault="0052052C" w:rsidP="0052052C">
                  <w:pPr>
                    <w:spacing w:line="240" w:lineRule="auto"/>
                    <w:ind w:firstLine="567"/>
                    <w:jc w:val="both"/>
                    <w:rPr>
                      <w:rFonts w:ascii="Times New Roman" w:hAnsi="Times New Roman"/>
                      <w:sz w:val="24"/>
                      <w:szCs w:val="24"/>
                    </w:rPr>
                  </w:pPr>
                  <w:r w:rsidRPr="00B70713">
                    <w:rPr>
                      <w:rStyle w:val="a8"/>
                      <w:rFonts w:ascii="Times New Roman" w:hAnsi="Times New Roman"/>
                      <w:sz w:val="24"/>
                      <w:szCs w:val="24"/>
                    </w:rPr>
                    <w:t>Де знайти програму?</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Безкоштовне програмне забезпечення для встановлення на </w:t>
                  </w:r>
                  <w:proofErr w:type="spellStart"/>
                  <w:r w:rsidRPr="00B70713">
                    <w:rPr>
                      <w:rFonts w:ascii="Times New Roman" w:hAnsi="Times New Roman"/>
                      <w:sz w:val="24"/>
                      <w:szCs w:val="24"/>
                    </w:rPr>
                    <w:t>гаджети</w:t>
                  </w:r>
                  <w:proofErr w:type="spellEnd"/>
                  <w:r w:rsidRPr="00B70713">
                    <w:rPr>
                      <w:rFonts w:ascii="Times New Roman" w:hAnsi="Times New Roman"/>
                      <w:sz w:val="24"/>
                      <w:szCs w:val="24"/>
                    </w:rPr>
                    <w:t xml:space="preserve"> суб‘єктів господарювання, ДПС розмістить на своєму сайті на початку 2020 року, спочатку для роботи в тестовому режимі. Разом з цим, у користувачів залишається можливість придбати або створити інше, зручне для них програмне забезпечення.</w:t>
                  </w:r>
                </w:p>
                <w:p w:rsidR="0052052C" w:rsidRPr="00B70713" w:rsidRDefault="0052052C" w:rsidP="0052052C">
                  <w:pPr>
                    <w:spacing w:line="240" w:lineRule="auto"/>
                    <w:ind w:firstLine="567"/>
                    <w:jc w:val="both"/>
                    <w:rPr>
                      <w:rFonts w:ascii="Times New Roman" w:hAnsi="Times New Roman"/>
                      <w:sz w:val="24"/>
                      <w:szCs w:val="24"/>
                    </w:rPr>
                  </w:pPr>
                  <w:r w:rsidRPr="00B70713">
                    <w:rPr>
                      <w:rStyle w:val="a8"/>
                      <w:rFonts w:ascii="Times New Roman" w:hAnsi="Times New Roman"/>
                      <w:sz w:val="24"/>
                      <w:szCs w:val="24"/>
                    </w:rPr>
                    <w:t>Що таке Реєстр програмних РРО та які дані він містить?</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Реєстр Програмних РРО ведеться ДПС.</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До реєстру вносяться:</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програмні РРО в момент присвоєння їм фіскального номера</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відомості про суб'єкта господарювання та його господарські одиниці, де застосовуються такі реєстратори, дані сертифікатів електронних підписів та/або печаток, що використовуються такими реєстраторами. </w:t>
                  </w:r>
                </w:p>
                <w:p w:rsidR="0052052C" w:rsidRPr="00B70713" w:rsidRDefault="0052052C" w:rsidP="0052052C">
                  <w:pPr>
                    <w:spacing w:line="240" w:lineRule="auto"/>
                    <w:ind w:firstLine="567"/>
                    <w:jc w:val="both"/>
                    <w:rPr>
                      <w:rFonts w:ascii="Times New Roman" w:hAnsi="Times New Roman"/>
                      <w:sz w:val="24"/>
                      <w:szCs w:val="24"/>
                    </w:rPr>
                  </w:pPr>
                  <w:r w:rsidRPr="00B70713">
                    <w:rPr>
                      <w:rStyle w:val="a8"/>
                      <w:rFonts w:ascii="Times New Roman" w:hAnsi="Times New Roman"/>
                      <w:sz w:val="24"/>
                      <w:szCs w:val="24"/>
                    </w:rPr>
                    <w:t> Як видаватимуться чеки?</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Суб'єкти господарювання зобов’язані надавати покупцю (включаючи операції через мережу Інтернет), при отриманні товарів (послуг) в обов'язковому порядку розрахунковий документ встановленої форми та змісту на повну суму проведеної операції, створений в паперовій та/або електронній формі (у тому числі, але не виключно, з відтворюванням на дисплеї РРО чи дисплеї пристрою, на якому встановлений Програмний РРО QR-коду, який дозволяє особі здійснювати його зчитування та ідентифікацію із розрахунковим документом, та/або надсиланням електронного розрахункового документа на наданий такою особою абонентський номер або адресу електронної пошти).</w:t>
                  </w:r>
                </w:p>
                <w:p w:rsidR="00584C55" w:rsidRDefault="00584C55" w:rsidP="00F55EFE">
                  <w:pPr>
                    <w:spacing w:after="0" w:line="240" w:lineRule="auto"/>
                    <w:ind w:firstLine="709"/>
                    <w:jc w:val="both"/>
                  </w:pPr>
                </w:p>
              </w:txbxContent>
            </v:textbox>
          </v:shape>
        </w:pict>
      </w:r>
      <w:r>
        <w:rPr>
          <w:noProof/>
          <w:lang w:eastAsia="uk-UA"/>
        </w:rPr>
        <w:pict>
          <v:shape id="_x0000_s1309" type="#_x0000_t202" style="position:absolute;margin-left:-8.05pt;margin-top:3.75pt;width:369.3pt;height:481.15pt;z-index:251667456" strokecolor="white">
            <v:textbox>
              <w:txbxContent>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У Головному управлінні ДПС у Волинській області наголошують, усі суб’єкти господарської діяльності, які здійснюють розрахункові операції у готівковій та/або безготівковій формі матимуть можливість застосовувати Програмні РРО. </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Слід знати, така альтернатива звичайним РРО з’явилася, завдяки законодавчим змінам, </w:t>
                  </w:r>
                  <w:r w:rsidRPr="00584394">
                    <w:rPr>
                      <w:rFonts w:ascii="Times New Roman" w:hAnsi="Times New Roman"/>
                      <w:sz w:val="24"/>
                      <w:szCs w:val="24"/>
                    </w:rPr>
                    <w:t>внесеним </w:t>
                  </w:r>
                  <w:hyperlink r:id="rId9" w:tgtFrame="_blank" w:history="1">
                    <w:r w:rsidRPr="00584394">
                      <w:rPr>
                        <w:rStyle w:val="a5"/>
                        <w:rFonts w:ascii="Times New Roman" w:hAnsi="Times New Roman"/>
                        <w:color w:val="auto"/>
                        <w:sz w:val="24"/>
                        <w:szCs w:val="24"/>
                      </w:rPr>
                      <w:t>Законом №128-IX.</w:t>
                    </w:r>
                  </w:hyperlink>
                  <w:r w:rsidRPr="00B70713">
                    <w:rPr>
                      <w:rFonts w:ascii="Times New Roman" w:hAnsi="Times New Roman"/>
                      <w:sz w:val="24"/>
                      <w:szCs w:val="24"/>
                    </w:rPr>
                    <w:t> </w:t>
                  </w:r>
                </w:p>
                <w:p w:rsidR="0052052C" w:rsidRPr="00B70713" w:rsidRDefault="0052052C" w:rsidP="0052052C">
                  <w:pPr>
                    <w:spacing w:line="240" w:lineRule="auto"/>
                    <w:ind w:firstLine="567"/>
                    <w:jc w:val="both"/>
                    <w:rPr>
                      <w:rFonts w:ascii="Times New Roman" w:hAnsi="Times New Roman"/>
                      <w:sz w:val="24"/>
                      <w:szCs w:val="24"/>
                    </w:rPr>
                  </w:pPr>
                  <w:r w:rsidRPr="00B70713">
                    <w:rPr>
                      <w:rStyle w:val="a8"/>
                      <w:rFonts w:ascii="Times New Roman" w:hAnsi="Times New Roman"/>
                      <w:sz w:val="24"/>
                      <w:szCs w:val="24"/>
                    </w:rPr>
                    <w:t>Що таке Програмний РРО?</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Це умовно кажучи, програма, яка завантажується на будь-який пристрій (смартфон, планшет та </w:t>
                  </w:r>
                  <w:proofErr w:type="spellStart"/>
                  <w:r w:rsidRPr="00B70713">
                    <w:rPr>
                      <w:rFonts w:ascii="Times New Roman" w:hAnsi="Times New Roman"/>
                      <w:sz w:val="24"/>
                      <w:szCs w:val="24"/>
                    </w:rPr>
                    <w:t>ін</w:t>
                  </w:r>
                  <w:proofErr w:type="spellEnd"/>
                  <w:r w:rsidRPr="00B70713">
                    <w:rPr>
                      <w:rFonts w:ascii="Times New Roman" w:hAnsi="Times New Roman"/>
                      <w:sz w:val="24"/>
                      <w:szCs w:val="24"/>
                    </w:rPr>
                    <w:t>) та в якій фіскальні функції реалізовані через фіскальний сервер контролюючого органу. </w:t>
                  </w:r>
                </w:p>
                <w:p w:rsidR="0052052C" w:rsidRPr="00B70713" w:rsidRDefault="0052052C" w:rsidP="0052052C">
                  <w:pPr>
                    <w:spacing w:line="240" w:lineRule="auto"/>
                    <w:ind w:firstLine="567"/>
                    <w:jc w:val="both"/>
                    <w:rPr>
                      <w:rFonts w:ascii="Times New Roman" w:hAnsi="Times New Roman"/>
                      <w:sz w:val="24"/>
                      <w:szCs w:val="24"/>
                    </w:rPr>
                  </w:pPr>
                  <w:r w:rsidRPr="00B70713">
                    <w:rPr>
                      <w:rStyle w:val="a8"/>
                      <w:rFonts w:ascii="Times New Roman" w:hAnsi="Times New Roman"/>
                      <w:sz w:val="24"/>
                      <w:szCs w:val="24"/>
                    </w:rPr>
                    <w:t>Що таке фіскальний сервер?</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Це сервер, через який реалізується фіскальна функція, знайома нам зі звичайних РРО і призначений він для реєстрації звичних для нас розрахункових операцій.</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Такий сервер здійснює:</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реєстрацію Програмних РРО;</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електронних розрахункових документів;</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електронних фіскальних звітів та електронних фіскальних звітних </w:t>
                  </w:r>
                  <w:proofErr w:type="spellStart"/>
                  <w:r w:rsidRPr="00B70713">
                    <w:rPr>
                      <w:rFonts w:ascii="Times New Roman" w:hAnsi="Times New Roman"/>
                      <w:sz w:val="24"/>
                      <w:szCs w:val="24"/>
                    </w:rPr>
                    <w:t>чеків</w:t>
                  </w:r>
                  <w:proofErr w:type="spellEnd"/>
                  <w:r w:rsidRPr="00B70713">
                    <w:rPr>
                      <w:rFonts w:ascii="Times New Roman" w:hAnsi="Times New Roman"/>
                      <w:sz w:val="24"/>
                      <w:szCs w:val="24"/>
                    </w:rPr>
                    <w:t>;</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збереження даних щодо проведеної операції з присвоєнням фіскальних номерів;</w:t>
                  </w:r>
                </w:p>
                <w:p w:rsidR="0052052C" w:rsidRDefault="0052052C" w:rsidP="0052052C">
                  <w:pPr>
                    <w:spacing w:line="240" w:lineRule="auto"/>
                    <w:ind w:firstLine="567"/>
                    <w:jc w:val="both"/>
                  </w:pPr>
                  <w:r w:rsidRPr="00B70713">
                    <w:rPr>
                      <w:rFonts w:ascii="Times New Roman" w:hAnsi="Times New Roman"/>
                      <w:sz w:val="24"/>
                      <w:szCs w:val="24"/>
                    </w:rPr>
                    <w:t>та через електронний також надає доступ до інформації про розрахункові операції, проведені з використанням Програмних РРО, а також інтеграцію з Програмними РРО. </w:t>
                  </w:r>
                </w:p>
                <w:p w:rsidR="001D67FC" w:rsidRDefault="001D67FC" w:rsidP="002B440C"/>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2614FA">
      <w:r>
        <w:rPr>
          <w:noProof/>
          <w:lang w:eastAsia="uk-UA"/>
        </w:rPr>
        <w:pict>
          <v:oval id="_x0000_s1301" style="position:absolute;margin-left:165.35pt;margin-top:9.95pt;width:23.25pt;height:23.45pt;z-index:251663360"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384" fillcolor="#8db3e2">
            <v:textbox style="mso-next-textbox:#_x0000_s1302">
              <w:txbxContent>
                <w:p w:rsidR="001E2F29" w:rsidRPr="00520BC1" w:rsidRDefault="00520BC1" w:rsidP="001E2F29">
                  <w:pPr>
                    <w:rPr>
                      <w:u w:val="single"/>
                    </w:rPr>
                  </w:pPr>
                  <w:r>
                    <w:rPr>
                      <w:u w:val="single"/>
                    </w:rPr>
                    <w:t>3</w:t>
                  </w:r>
                </w:p>
              </w:txbxContent>
            </v:textbox>
          </v:oval>
        </w:pict>
      </w:r>
    </w:p>
    <w:p w:rsidR="00DC4CEE" w:rsidRDefault="002614FA">
      <w:r>
        <w:rPr>
          <w:noProof/>
          <w:lang w:eastAsia="uk-UA"/>
        </w:rPr>
        <w:lastRenderedPageBreak/>
        <w:pict>
          <v:roundrect id="_x0000_s1298" style="position:absolute;margin-left:403.9pt;margin-top:-6.25pt;width:388.3pt;height:537.8pt;z-index:251660288;visibility:visible;v-text-anchor:middle" arcsize="989f" filled="f" strokecolor="navy" strokeweight="5pt">
            <v:stroke linestyle="thinThin" joinstyle="miter"/>
          </v:roundrect>
        </w:pict>
      </w:r>
      <w:r>
        <w:rPr>
          <w:noProof/>
          <w:lang w:eastAsia="uk-UA"/>
        </w:rPr>
        <w:pict>
          <v:roundrect id="_x0000_s1297" style="position:absolute;margin-left:-11.25pt;margin-top:-6.25pt;width:388.3pt;height:537.8pt;z-index:251659264;visibility:visible;v-text-anchor:middle" arcsize="989f" filled="f" strokecolor="navy" strokeweight="5pt">
            <v:stroke linestyle="thinThin" joinstyle="miter"/>
          </v:roundrect>
        </w:pict>
      </w:r>
      <w:r>
        <w:rPr>
          <w:noProof/>
          <w:lang w:eastAsia="uk-UA"/>
        </w:rPr>
        <w:pict>
          <v:shape id="_x0000_s1299" type="#_x0000_t75" style="position:absolute;margin-left:574.6pt;margin-top:-22.45pt;width:42.75pt;height:45.7pt;z-index:251661312;visibility:visible" wrapcoords="-267 0 -267 16821 267 18350 533 18542 9067 21409 9600 21409 11733 21409 12267 21409 20800 18542 21067 18350 21600 16821 21600 0 -267 0">
            <v:imagedata r:id="rId7" o:title=""/>
            <w10:wrap type="tight"/>
          </v:shape>
        </w:pict>
      </w:r>
      <w:r>
        <w:rPr>
          <w:noProof/>
          <w:lang w:eastAsia="uk-UA"/>
        </w:rPr>
        <w:pict>
          <v:shape id="_x0000_s1300" type="#_x0000_t75" style="position:absolute;margin-left:156.35pt;margin-top:-22.45pt;width:42.75pt;height:45.7pt;z-index:251662336;visibility:visible" wrapcoords="-267 0 -267 16821 267 18350 533 18542 9067 21409 9600 21409 11733 21409 12267 21409 20800 18542 21067 18350 21600 16821 21600 0 -267 0">
            <v:imagedata r:id="rId7" o:title=""/>
            <w10:wrap type="tight"/>
          </v:shape>
        </w:pict>
      </w:r>
    </w:p>
    <w:p w:rsidR="00DC4CEE" w:rsidRDefault="002614FA">
      <w:r>
        <w:rPr>
          <w:noProof/>
          <w:lang w:eastAsia="uk-UA"/>
        </w:rPr>
        <w:pict>
          <v:shape id="_x0000_s1312" type="#_x0000_t202" style="position:absolute;margin-left:413.8pt;margin-top:5.45pt;width:368.45pt;height:482pt;z-index:251670528" strokecolor="white">
            <v:textbox>
              <w:txbxContent>
                <w:p w:rsidR="0052052C" w:rsidRPr="00B70713" w:rsidRDefault="00201D6B" w:rsidP="00201D6B">
                  <w:pPr>
                    <w:spacing w:line="240" w:lineRule="auto"/>
                    <w:jc w:val="both"/>
                    <w:rPr>
                      <w:rFonts w:ascii="Times New Roman" w:hAnsi="Times New Roman"/>
                      <w:sz w:val="24"/>
                      <w:szCs w:val="24"/>
                    </w:rPr>
                  </w:pPr>
                  <w:r w:rsidRPr="00B70713">
                    <w:rPr>
                      <w:rFonts w:ascii="Times New Roman" w:hAnsi="Times New Roman"/>
                      <w:sz w:val="24"/>
                      <w:szCs w:val="24"/>
                    </w:rPr>
                    <w:t>подальшого її переказу, не пер</w:t>
                  </w:r>
                  <w:r>
                    <w:rPr>
                      <w:rFonts w:ascii="Times New Roman" w:hAnsi="Times New Roman"/>
                      <w:sz w:val="24"/>
                      <w:szCs w:val="24"/>
                    </w:rPr>
                    <w:t>еведених у фіскальний режим (не</w:t>
                  </w:r>
                  <w:r w:rsidRPr="00201D6B">
                    <w:rPr>
                      <w:rFonts w:ascii="Times New Roman" w:hAnsi="Times New Roman"/>
                      <w:sz w:val="24"/>
                      <w:szCs w:val="24"/>
                      <w:lang w:val="ru-RU"/>
                    </w:rPr>
                    <w:t xml:space="preserve"> </w:t>
                  </w:r>
                  <w:r w:rsidR="0052052C" w:rsidRPr="00B70713">
                    <w:rPr>
                      <w:rFonts w:ascii="Times New Roman" w:hAnsi="Times New Roman"/>
                      <w:sz w:val="24"/>
                      <w:szCs w:val="24"/>
                    </w:rPr>
                    <w:t>обладнаних переведеними у фіскальний режим реєстраторами розрахункових операцій та/або програмними реєстраторами розрахункових операцій).</w:t>
                  </w:r>
                </w:p>
                <w:p w:rsidR="0052052C" w:rsidRPr="00B70713" w:rsidRDefault="0052052C" w:rsidP="0052052C">
                  <w:pPr>
                    <w:spacing w:line="240" w:lineRule="auto"/>
                    <w:ind w:firstLine="567"/>
                    <w:jc w:val="both"/>
                    <w:rPr>
                      <w:rStyle w:val="a8"/>
                      <w:rFonts w:ascii="Times New Roman" w:hAnsi="Times New Roman"/>
                      <w:sz w:val="24"/>
                      <w:szCs w:val="24"/>
                    </w:rPr>
                  </w:pPr>
                  <w:r w:rsidRPr="00B70713">
                    <w:rPr>
                      <w:rStyle w:val="a8"/>
                      <w:rFonts w:ascii="Times New Roman" w:hAnsi="Times New Roman"/>
                      <w:sz w:val="24"/>
                      <w:szCs w:val="24"/>
                    </w:rPr>
                    <w:t>Є бажання змінити звичайний РРО на Програмний?</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Суб'єкти господарювання, які у зв'язку із застосуванням Програмних РРО </w:t>
                  </w:r>
                  <w:proofErr w:type="spellStart"/>
                  <w:r w:rsidRPr="00B70713">
                    <w:rPr>
                      <w:rFonts w:ascii="Times New Roman" w:hAnsi="Times New Roman"/>
                      <w:sz w:val="24"/>
                      <w:szCs w:val="24"/>
                    </w:rPr>
                    <w:t>вирішать</w:t>
                  </w:r>
                  <w:proofErr w:type="spellEnd"/>
                  <w:r w:rsidRPr="00B70713">
                    <w:rPr>
                      <w:rFonts w:ascii="Times New Roman" w:hAnsi="Times New Roman"/>
                      <w:sz w:val="24"/>
                      <w:szCs w:val="24"/>
                    </w:rPr>
                    <w:t xml:space="preserve"> відмовитися від застосування РРО, строк служби яких не закінчився, повинні скасувати реєстрацію таких РРО у встановленому порядку.</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w:t>
                  </w:r>
                  <w:r w:rsidRPr="00B70713">
                    <w:rPr>
                      <w:rStyle w:val="a8"/>
                      <w:rFonts w:ascii="Times New Roman" w:hAnsi="Times New Roman"/>
                      <w:sz w:val="24"/>
                      <w:szCs w:val="24"/>
                    </w:rPr>
                    <w:t>Чи розширилось коло суб’єктів, які мають використовувати РРО?</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З жовтня 2020 року використання РРО стане обов'язковим (крім платників єдиного податку 1 групи (річний дохід до 300 </w:t>
                  </w:r>
                  <w:proofErr w:type="spellStart"/>
                  <w:r w:rsidRPr="00B70713">
                    <w:rPr>
                      <w:rFonts w:ascii="Times New Roman" w:hAnsi="Times New Roman"/>
                      <w:sz w:val="24"/>
                      <w:szCs w:val="24"/>
                    </w:rPr>
                    <w:t>тис.грн</w:t>
                  </w:r>
                  <w:proofErr w:type="spellEnd"/>
                  <w:r w:rsidRPr="00B70713">
                    <w:rPr>
                      <w:rFonts w:ascii="Times New Roman" w:hAnsi="Times New Roman"/>
                      <w:sz w:val="24"/>
                      <w:szCs w:val="24"/>
                    </w:rPr>
                    <w:t xml:space="preserve">.)) для фізичних осіб платників єдиного податку ризикових сфер діяльності - продавців ювелірних виробів, медпрепаратів і ліків, складних побутових приладів, автозапчастин, магазинів з продажу </w:t>
                  </w:r>
                  <w:proofErr w:type="spellStart"/>
                  <w:r w:rsidRPr="00B70713">
                    <w:rPr>
                      <w:rFonts w:ascii="Times New Roman" w:hAnsi="Times New Roman"/>
                      <w:sz w:val="24"/>
                      <w:szCs w:val="24"/>
                    </w:rPr>
                    <w:t>секонд-хенду</w:t>
                  </w:r>
                  <w:proofErr w:type="spellEnd"/>
                  <w:r w:rsidRPr="00B70713">
                    <w:rPr>
                      <w:rFonts w:ascii="Times New Roman" w:hAnsi="Times New Roman"/>
                      <w:sz w:val="24"/>
                      <w:szCs w:val="24"/>
                    </w:rPr>
                    <w:t xml:space="preserve">. </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Також використовувати РРО мають ресторани, кафе, </w:t>
                  </w:r>
                  <w:proofErr w:type="spellStart"/>
                  <w:r w:rsidRPr="00B70713">
                    <w:rPr>
                      <w:rFonts w:ascii="Times New Roman" w:hAnsi="Times New Roman"/>
                      <w:sz w:val="24"/>
                      <w:szCs w:val="24"/>
                    </w:rPr>
                    <w:t>турагенції</w:t>
                  </w:r>
                  <w:proofErr w:type="spellEnd"/>
                  <w:r w:rsidRPr="00B70713">
                    <w:rPr>
                      <w:rFonts w:ascii="Times New Roman" w:hAnsi="Times New Roman"/>
                      <w:sz w:val="24"/>
                      <w:szCs w:val="24"/>
                    </w:rPr>
                    <w:t>, готелі.</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З 1 січня 2021 року використання РРО буде обов'язковим для фізичних осіб платників єдиного податку 2, 3, 4 груп незалежно від видів діяльності.</w:t>
                  </w:r>
                  <w:bookmarkStart w:id="0" w:name="_GoBack"/>
                  <w:bookmarkEnd w:id="0"/>
                </w:p>
                <w:p w:rsidR="0052052C" w:rsidRPr="00B70713" w:rsidRDefault="0052052C" w:rsidP="0052052C">
                  <w:pPr>
                    <w:spacing w:line="240" w:lineRule="auto"/>
                    <w:ind w:firstLine="567"/>
                    <w:jc w:val="both"/>
                    <w:rPr>
                      <w:rFonts w:ascii="Times New Roman" w:hAnsi="Times New Roman"/>
                      <w:sz w:val="24"/>
                      <w:szCs w:val="24"/>
                    </w:rPr>
                  </w:pPr>
                  <w:r w:rsidRPr="00B70713">
                    <w:rPr>
                      <w:rStyle w:val="a8"/>
                      <w:rFonts w:ascii="Times New Roman" w:hAnsi="Times New Roman"/>
                      <w:sz w:val="24"/>
                      <w:szCs w:val="24"/>
                    </w:rPr>
                    <w:t>Додаткові переваги Програмних РРО</w:t>
                  </w:r>
                </w:p>
                <w:p w:rsidR="0052052C" w:rsidRPr="00C00485"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Z-звіти генеруються автоматично, тобто і </w:t>
                  </w:r>
                  <w:r w:rsidRPr="00780A6E">
                    <w:rPr>
                      <w:rFonts w:ascii="Times New Roman" w:hAnsi="Times New Roman"/>
                      <w:sz w:val="24"/>
                      <w:szCs w:val="24"/>
                    </w:rPr>
                    <w:t>штрафів за не роздрукування такого звіту не буде. Не актуальні також і </w:t>
                  </w:r>
                  <w:hyperlink r:id="rId10" w:tgtFrame="_blank" w:history="1">
                    <w:r w:rsidRPr="00C00485">
                      <w:rPr>
                        <w:rStyle w:val="a5"/>
                        <w:rFonts w:ascii="Times New Roman" w:hAnsi="Times New Roman"/>
                        <w:color w:val="auto"/>
                        <w:sz w:val="24"/>
                        <w:szCs w:val="24"/>
                      </w:rPr>
                      <w:t>Книги обліку розрахункових операцій</w:t>
                    </w:r>
                  </w:hyperlink>
                  <w:r w:rsidRPr="00C00485">
                    <w:rPr>
                      <w:rFonts w:ascii="Times New Roman" w:hAnsi="Times New Roman"/>
                      <w:sz w:val="24"/>
                      <w:szCs w:val="24"/>
                    </w:rPr>
                    <w:t xml:space="preserve"> і </w:t>
                  </w:r>
                  <w:hyperlink r:id="rId11" w:tgtFrame="_blank" w:history="1">
                    <w:r w:rsidRPr="00C00485">
                      <w:rPr>
                        <w:rStyle w:val="a5"/>
                        <w:rFonts w:ascii="Times New Roman" w:hAnsi="Times New Roman"/>
                        <w:color w:val="auto"/>
                        <w:sz w:val="24"/>
                        <w:szCs w:val="24"/>
                      </w:rPr>
                      <w:t>розрахункові книжки</w:t>
                    </w:r>
                  </w:hyperlink>
                  <w:r w:rsidRPr="00C00485">
                    <w:rPr>
                      <w:rFonts w:ascii="Times New Roman" w:hAnsi="Times New Roman"/>
                      <w:sz w:val="24"/>
                      <w:szCs w:val="24"/>
                    </w:rPr>
                    <w:t>.</w:t>
                  </w:r>
                </w:p>
                <w:p w:rsidR="0052052C" w:rsidRPr="00262137" w:rsidRDefault="0052052C" w:rsidP="0052052C">
                  <w:pPr>
                    <w:spacing w:line="240" w:lineRule="auto"/>
                    <w:ind w:left="-284" w:firstLine="568"/>
                    <w:jc w:val="both"/>
                    <w:rPr>
                      <w:rFonts w:ascii="Times New Roman" w:hAnsi="Times New Roman"/>
                      <w:sz w:val="28"/>
                      <w:szCs w:val="28"/>
                      <w:lang w:val="ru-RU"/>
                    </w:rPr>
                  </w:pPr>
                </w:p>
                <w:p w:rsidR="00CB0417" w:rsidRDefault="00CB0417"/>
              </w:txbxContent>
            </v:textbox>
          </v:shape>
        </w:pict>
      </w:r>
      <w:r>
        <w:rPr>
          <w:noProof/>
          <w:lang w:eastAsia="uk-UA"/>
        </w:rPr>
        <w:pict>
          <v:shape id="_x0000_s1311" type="#_x0000_t202" style="position:absolute;margin-left:-2.1pt;margin-top:5.45pt;width:365.05pt;height:482pt;z-index:251669504" strokecolor="white">
            <v:textbox>
              <w:txbxContent>
                <w:p w:rsidR="0052052C" w:rsidRPr="00B70713" w:rsidRDefault="0052052C" w:rsidP="0052052C">
                  <w:pPr>
                    <w:spacing w:line="240" w:lineRule="auto"/>
                    <w:ind w:firstLine="567"/>
                    <w:jc w:val="both"/>
                    <w:rPr>
                      <w:rFonts w:ascii="Times New Roman" w:hAnsi="Times New Roman"/>
                      <w:sz w:val="24"/>
                      <w:szCs w:val="24"/>
                    </w:rPr>
                  </w:pPr>
                  <w:r w:rsidRPr="00B70713">
                    <w:rPr>
                      <w:rStyle w:val="a8"/>
                      <w:rFonts w:ascii="Times New Roman" w:hAnsi="Times New Roman"/>
                      <w:sz w:val="24"/>
                      <w:szCs w:val="24"/>
                    </w:rPr>
                    <w:t>Як працювати, якщо Програмний РРО вийшов з ладу?</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На період виходу з ладу Програмного РРО проведення розрахункових операцій не здійснюється до моменту усунення </w:t>
                  </w:r>
                  <w:proofErr w:type="spellStart"/>
                  <w:r w:rsidRPr="00B70713">
                    <w:rPr>
                      <w:rFonts w:ascii="Times New Roman" w:hAnsi="Times New Roman"/>
                      <w:sz w:val="24"/>
                      <w:szCs w:val="24"/>
                    </w:rPr>
                    <w:t>несправностей</w:t>
                  </w:r>
                  <w:proofErr w:type="spellEnd"/>
                  <w:r w:rsidRPr="00B70713">
                    <w:rPr>
                      <w:rFonts w:ascii="Times New Roman" w:hAnsi="Times New Roman"/>
                      <w:sz w:val="24"/>
                      <w:szCs w:val="24"/>
                    </w:rPr>
                    <w:t>. Альтернатива - застосування резервного РРО.</w:t>
                  </w:r>
                </w:p>
                <w:p w:rsidR="0052052C" w:rsidRPr="00B70713" w:rsidRDefault="0052052C" w:rsidP="0052052C">
                  <w:pPr>
                    <w:spacing w:line="240" w:lineRule="auto"/>
                    <w:ind w:firstLine="567"/>
                    <w:jc w:val="both"/>
                    <w:rPr>
                      <w:rFonts w:ascii="Times New Roman" w:hAnsi="Times New Roman"/>
                      <w:sz w:val="24"/>
                      <w:szCs w:val="24"/>
                    </w:rPr>
                  </w:pPr>
                  <w:r w:rsidRPr="00B70713">
                    <w:rPr>
                      <w:rStyle w:val="a8"/>
                      <w:rFonts w:ascii="Times New Roman" w:hAnsi="Times New Roman"/>
                      <w:sz w:val="24"/>
                      <w:szCs w:val="24"/>
                    </w:rPr>
                    <w:t xml:space="preserve">Що робити, коли Програмний РРО в </w:t>
                  </w:r>
                  <w:proofErr w:type="spellStart"/>
                  <w:r w:rsidRPr="00B70713">
                    <w:rPr>
                      <w:rStyle w:val="a8"/>
                      <w:rFonts w:ascii="Times New Roman" w:hAnsi="Times New Roman"/>
                      <w:sz w:val="24"/>
                      <w:szCs w:val="24"/>
                    </w:rPr>
                    <w:t>offline</w:t>
                  </w:r>
                  <w:proofErr w:type="spellEnd"/>
                  <w:r w:rsidRPr="00B70713">
                    <w:rPr>
                      <w:rStyle w:val="a8"/>
                      <w:rFonts w:ascii="Times New Roman" w:hAnsi="Times New Roman"/>
                      <w:sz w:val="24"/>
                      <w:szCs w:val="24"/>
                    </w:rPr>
                    <w:t>?</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На період відсутності зв'язку між Програмним РРО та сервером ДПС проведення розрахункових операцій здійснюється в режимі </w:t>
                  </w:r>
                  <w:proofErr w:type="spellStart"/>
                  <w:r w:rsidRPr="00B70713">
                    <w:rPr>
                      <w:rFonts w:ascii="Times New Roman" w:hAnsi="Times New Roman"/>
                      <w:sz w:val="24"/>
                      <w:szCs w:val="24"/>
                    </w:rPr>
                    <w:t>офлайн</w:t>
                  </w:r>
                  <w:proofErr w:type="spellEnd"/>
                  <w:r w:rsidRPr="00B70713">
                    <w:rPr>
                      <w:rFonts w:ascii="Times New Roman" w:hAnsi="Times New Roman"/>
                      <w:sz w:val="24"/>
                      <w:szCs w:val="24"/>
                    </w:rPr>
                    <w:t>, що може тривати не більше 36 годин, із створенням електронних розрахункових документів, яким присвоюються фіскальні номери із діапазону фіскальних номерів, сформованих (та виданих на такий випадок) сервером ДПС. Їх суб'єкт господарювання може використовувати не більше 168 годин протягом календарного місяця - єдина умова.</w:t>
                  </w:r>
                </w:p>
                <w:p w:rsidR="0052052C" w:rsidRPr="00B70713"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У таких розрахункових документах має бути зазначено, що розрахункова операція проведена у режимі </w:t>
                  </w:r>
                  <w:proofErr w:type="spellStart"/>
                  <w:r w:rsidRPr="00B70713">
                    <w:rPr>
                      <w:rFonts w:ascii="Times New Roman" w:hAnsi="Times New Roman"/>
                      <w:sz w:val="24"/>
                      <w:szCs w:val="24"/>
                    </w:rPr>
                    <w:t>офлайн</w:t>
                  </w:r>
                  <w:proofErr w:type="spellEnd"/>
                  <w:r w:rsidRPr="00B70713">
                    <w:rPr>
                      <w:rFonts w:ascii="Times New Roman" w:hAnsi="Times New Roman"/>
                      <w:sz w:val="24"/>
                      <w:szCs w:val="24"/>
                    </w:rPr>
                    <w:t xml:space="preserve"> і такі документи мають зберігатися Програмним РРО до моменту отримання від ДПС підтвердження про доставку розрахункових документів.</w:t>
                  </w:r>
                </w:p>
                <w:p w:rsidR="0052052C" w:rsidRDefault="0052052C" w:rsidP="0052052C">
                  <w:pPr>
                    <w:spacing w:line="240" w:lineRule="auto"/>
                    <w:ind w:firstLine="567"/>
                    <w:jc w:val="both"/>
                    <w:rPr>
                      <w:rFonts w:ascii="Times New Roman" w:hAnsi="Times New Roman"/>
                      <w:sz w:val="24"/>
                      <w:szCs w:val="24"/>
                    </w:rPr>
                  </w:pPr>
                  <w:r w:rsidRPr="00B70713">
                    <w:rPr>
                      <w:rFonts w:ascii="Times New Roman" w:hAnsi="Times New Roman"/>
                      <w:sz w:val="24"/>
                      <w:szCs w:val="24"/>
                    </w:rPr>
                    <w:t xml:space="preserve">Протягом години після встановлення зв'язку із сервером ДПС здійснюється передача копій створених Програмним РРО розрахункових документів з присвоєними їм у режимі </w:t>
                  </w:r>
                  <w:proofErr w:type="spellStart"/>
                  <w:r w:rsidRPr="00B70713">
                    <w:rPr>
                      <w:rFonts w:ascii="Times New Roman" w:hAnsi="Times New Roman"/>
                      <w:sz w:val="24"/>
                      <w:szCs w:val="24"/>
                    </w:rPr>
                    <w:t>офлайн</w:t>
                  </w:r>
                  <w:proofErr w:type="spellEnd"/>
                  <w:r w:rsidRPr="00B70713">
                    <w:rPr>
                      <w:rFonts w:ascii="Times New Roman" w:hAnsi="Times New Roman"/>
                      <w:sz w:val="24"/>
                      <w:szCs w:val="24"/>
                    </w:rPr>
                    <w:t xml:space="preserve"> фіскальними номерами до сервера ДПС. Такі розрахункові документи мають бути передані до моменту передачі електронного фіскального звіту, електронного фіскального звітного чека за день, коли були сформовані такі розрахункові документи.</w:t>
                  </w:r>
                </w:p>
                <w:p w:rsidR="0052052C" w:rsidRPr="00B70713" w:rsidRDefault="0052052C" w:rsidP="009906C6">
                  <w:pPr>
                    <w:spacing w:line="240" w:lineRule="auto"/>
                    <w:ind w:firstLine="567"/>
                    <w:jc w:val="both"/>
                    <w:rPr>
                      <w:rFonts w:ascii="Times New Roman" w:hAnsi="Times New Roman"/>
                      <w:sz w:val="24"/>
                      <w:szCs w:val="24"/>
                    </w:rPr>
                  </w:pPr>
                  <w:r w:rsidRPr="00B70713">
                    <w:rPr>
                      <w:rFonts w:ascii="Times New Roman" w:hAnsi="Times New Roman"/>
                      <w:sz w:val="24"/>
                      <w:szCs w:val="24"/>
                    </w:rPr>
                    <w:t> </w:t>
                  </w:r>
                  <w:r w:rsidR="009906C6">
                    <w:rPr>
                      <w:rStyle w:val="a8"/>
                      <w:rFonts w:ascii="Times New Roman" w:hAnsi="Times New Roman"/>
                      <w:sz w:val="24"/>
                      <w:szCs w:val="24"/>
                    </w:rPr>
                    <w:t>Чи</w:t>
                  </w:r>
                  <w:r w:rsidR="009906C6" w:rsidRPr="009906C6">
                    <w:rPr>
                      <w:rStyle w:val="a8"/>
                      <w:rFonts w:ascii="Times New Roman" w:hAnsi="Times New Roman"/>
                      <w:sz w:val="24"/>
                      <w:szCs w:val="24"/>
                      <w:lang w:val="ru-RU"/>
                    </w:rPr>
                    <w:t xml:space="preserve"> </w:t>
                  </w:r>
                  <w:r w:rsidRPr="00B70713">
                    <w:rPr>
                      <w:rStyle w:val="a8"/>
                      <w:rFonts w:ascii="Times New Roman" w:hAnsi="Times New Roman"/>
                      <w:sz w:val="24"/>
                      <w:szCs w:val="24"/>
                    </w:rPr>
                    <w:t>можливе використання комплексів самообслуговування?</w:t>
                  </w:r>
                </w:p>
                <w:p w:rsidR="0052052C" w:rsidRPr="00201D6B" w:rsidRDefault="0052052C" w:rsidP="0052052C">
                  <w:pPr>
                    <w:spacing w:line="240" w:lineRule="auto"/>
                    <w:ind w:firstLine="567"/>
                    <w:jc w:val="both"/>
                    <w:rPr>
                      <w:rFonts w:ascii="Times New Roman" w:hAnsi="Times New Roman"/>
                      <w:sz w:val="24"/>
                      <w:szCs w:val="24"/>
                      <w:lang w:val="ru-RU"/>
                    </w:rPr>
                  </w:pPr>
                  <w:r w:rsidRPr="00B70713">
                    <w:rPr>
                      <w:rFonts w:ascii="Times New Roman" w:hAnsi="Times New Roman"/>
                      <w:sz w:val="24"/>
                      <w:szCs w:val="24"/>
                    </w:rPr>
                    <w:t xml:space="preserve">Законом забороняється використання програмно-технічних комплексів самообслуговування з приймання готівки для </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2614FA">
      <w:pPr>
        <w:rPr>
          <w:lang w:val="ru-RU"/>
        </w:rPr>
      </w:pPr>
      <w:r>
        <w:rPr>
          <w:noProof/>
          <w:lang w:eastAsia="uk-UA"/>
        </w:rPr>
        <w:pict>
          <v:oval id="_x0000_s1306" style="position:absolute;margin-left:588.3pt;margin-top:9.95pt;width:23.25pt;height:23.45pt;z-index:251666432" fillcolor="#8db3e2">
            <v:textbox style="mso-next-textbox:#_x0000_s1306">
              <w:txbxContent>
                <w:p w:rsidR="00254FF1" w:rsidRPr="00520BC1" w:rsidRDefault="00520BC1" w:rsidP="00254FF1">
                  <w:pPr>
                    <w:rPr>
                      <w:u w:val="single"/>
                    </w:rPr>
                  </w:pPr>
                  <w:r>
                    <w:rPr>
                      <w:u w:val="single"/>
                    </w:rPr>
                    <w:t>5</w:t>
                  </w:r>
                </w:p>
              </w:txbxContent>
            </v:textbox>
          </v:oval>
        </w:pict>
      </w:r>
      <w:r>
        <w:rPr>
          <w:noProof/>
          <w:lang w:eastAsia="uk-UA"/>
        </w:rPr>
        <w:pict>
          <v:oval id="_x0000_s1305" style="position:absolute;margin-left:169.25pt;margin-top:9.95pt;width:23.25pt;height:23.45pt;z-index:251665408" fillcolor="#8db3e2">
            <v:textbox style="mso-next-textbox:#_x0000_s1305">
              <w:txbxContent>
                <w:p w:rsidR="00254FF1" w:rsidRPr="00520BC1" w:rsidRDefault="00520BC1" w:rsidP="00254FF1">
                  <w:pPr>
                    <w:rPr>
                      <w:u w:val="single"/>
                    </w:rPr>
                  </w:pPr>
                  <w:r>
                    <w:rPr>
                      <w:u w:val="single"/>
                    </w:rPr>
                    <w:t>4</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A95BE"/>
    <w:lvl w:ilvl="0">
      <w:start w:val="1"/>
      <w:numFmt w:val="decimal"/>
      <w:lvlText w:val="%1."/>
      <w:lvlJc w:val="left"/>
      <w:pPr>
        <w:tabs>
          <w:tab w:val="num" w:pos="1492"/>
        </w:tabs>
        <w:ind w:left="1492" w:hanging="360"/>
      </w:pPr>
    </w:lvl>
  </w:abstractNum>
  <w:abstractNum w:abstractNumId="1">
    <w:nsid w:val="FFFFFF7D"/>
    <w:multiLevelType w:val="singleLevel"/>
    <w:tmpl w:val="FB06B976"/>
    <w:lvl w:ilvl="0">
      <w:start w:val="1"/>
      <w:numFmt w:val="decimal"/>
      <w:lvlText w:val="%1."/>
      <w:lvlJc w:val="left"/>
      <w:pPr>
        <w:tabs>
          <w:tab w:val="num" w:pos="1209"/>
        </w:tabs>
        <w:ind w:left="1209" w:hanging="360"/>
      </w:pPr>
    </w:lvl>
  </w:abstractNum>
  <w:abstractNum w:abstractNumId="2">
    <w:nsid w:val="FFFFFF7E"/>
    <w:multiLevelType w:val="singleLevel"/>
    <w:tmpl w:val="A35A6166"/>
    <w:lvl w:ilvl="0">
      <w:start w:val="1"/>
      <w:numFmt w:val="decimal"/>
      <w:lvlText w:val="%1."/>
      <w:lvlJc w:val="left"/>
      <w:pPr>
        <w:tabs>
          <w:tab w:val="num" w:pos="926"/>
        </w:tabs>
        <w:ind w:left="926" w:hanging="360"/>
      </w:pPr>
    </w:lvl>
  </w:abstractNum>
  <w:abstractNum w:abstractNumId="3">
    <w:nsid w:val="FFFFFF7F"/>
    <w:multiLevelType w:val="singleLevel"/>
    <w:tmpl w:val="565EBA46"/>
    <w:lvl w:ilvl="0">
      <w:start w:val="1"/>
      <w:numFmt w:val="decimal"/>
      <w:lvlText w:val="%1."/>
      <w:lvlJc w:val="left"/>
      <w:pPr>
        <w:tabs>
          <w:tab w:val="num" w:pos="643"/>
        </w:tabs>
        <w:ind w:left="643" w:hanging="360"/>
      </w:pPr>
    </w:lvl>
  </w:abstractNum>
  <w:abstractNum w:abstractNumId="4">
    <w:nsid w:val="FFFFFF80"/>
    <w:multiLevelType w:val="singleLevel"/>
    <w:tmpl w:val="4178F0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129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2D8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6E7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6A408"/>
    <w:lvl w:ilvl="0">
      <w:start w:val="1"/>
      <w:numFmt w:val="decimal"/>
      <w:lvlText w:val="%1."/>
      <w:lvlJc w:val="left"/>
      <w:pPr>
        <w:tabs>
          <w:tab w:val="num" w:pos="360"/>
        </w:tabs>
        <w:ind w:left="360" w:hanging="360"/>
      </w:pPr>
    </w:lvl>
  </w:abstractNum>
  <w:abstractNum w:abstractNumId="9">
    <w:nsid w:val="FFFFFF89"/>
    <w:multiLevelType w:val="singleLevel"/>
    <w:tmpl w:val="9042E0C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71C57"/>
    <w:rsid w:val="00083860"/>
    <w:rsid w:val="0009544C"/>
    <w:rsid w:val="000955E8"/>
    <w:rsid w:val="000A16E2"/>
    <w:rsid w:val="000A5719"/>
    <w:rsid w:val="000B00B0"/>
    <w:rsid w:val="000B46E9"/>
    <w:rsid w:val="000B7872"/>
    <w:rsid w:val="000C3528"/>
    <w:rsid w:val="000C5394"/>
    <w:rsid w:val="000C549F"/>
    <w:rsid w:val="000C67F0"/>
    <w:rsid w:val="000C6FF9"/>
    <w:rsid w:val="000E2BB4"/>
    <w:rsid w:val="000F0E8F"/>
    <w:rsid w:val="001029F3"/>
    <w:rsid w:val="00105EC5"/>
    <w:rsid w:val="0011043C"/>
    <w:rsid w:val="00134A21"/>
    <w:rsid w:val="00136364"/>
    <w:rsid w:val="00137512"/>
    <w:rsid w:val="001428D3"/>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1D6B"/>
    <w:rsid w:val="0020212F"/>
    <w:rsid w:val="00215A69"/>
    <w:rsid w:val="002208B7"/>
    <w:rsid w:val="0022498D"/>
    <w:rsid w:val="0022740A"/>
    <w:rsid w:val="00233795"/>
    <w:rsid w:val="00234F98"/>
    <w:rsid w:val="00243575"/>
    <w:rsid w:val="00254FF1"/>
    <w:rsid w:val="002614FA"/>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62414"/>
    <w:rsid w:val="003660AD"/>
    <w:rsid w:val="0037551C"/>
    <w:rsid w:val="00376A18"/>
    <w:rsid w:val="003814E8"/>
    <w:rsid w:val="00390E57"/>
    <w:rsid w:val="003A4703"/>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82091"/>
    <w:rsid w:val="004A3CB5"/>
    <w:rsid w:val="004A3DA8"/>
    <w:rsid w:val="004B2E63"/>
    <w:rsid w:val="004B395D"/>
    <w:rsid w:val="004B710C"/>
    <w:rsid w:val="004C3977"/>
    <w:rsid w:val="004C46D6"/>
    <w:rsid w:val="0050066C"/>
    <w:rsid w:val="00505559"/>
    <w:rsid w:val="00511ACE"/>
    <w:rsid w:val="005129AB"/>
    <w:rsid w:val="0052052C"/>
    <w:rsid w:val="00520BC1"/>
    <w:rsid w:val="00524B40"/>
    <w:rsid w:val="00534CCB"/>
    <w:rsid w:val="005506B3"/>
    <w:rsid w:val="00550B0B"/>
    <w:rsid w:val="00553BBE"/>
    <w:rsid w:val="00556971"/>
    <w:rsid w:val="00557AAD"/>
    <w:rsid w:val="005714BB"/>
    <w:rsid w:val="00584394"/>
    <w:rsid w:val="00584C55"/>
    <w:rsid w:val="00585865"/>
    <w:rsid w:val="00595206"/>
    <w:rsid w:val="005975C0"/>
    <w:rsid w:val="005A7938"/>
    <w:rsid w:val="005B2E53"/>
    <w:rsid w:val="005B3F93"/>
    <w:rsid w:val="005B79FA"/>
    <w:rsid w:val="005C2E1A"/>
    <w:rsid w:val="005C5960"/>
    <w:rsid w:val="005D776A"/>
    <w:rsid w:val="005E3FFA"/>
    <w:rsid w:val="00601BBB"/>
    <w:rsid w:val="0061674C"/>
    <w:rsid w:val="00617B7D"/>
    <w:rsid w:val="00655F13"/>
    <w:rsid w:val="00657535"/>
    <w:rsid w:val="006779C9"/>
    <w:rsid w:val="006838B8"/>
    <w:rsid w:val="006861CD"/>
    <w:rsid w:val="006908FF"/>
    <w:rsid w:val="00691330"/>
    <w:rsid w:val="0069199E"/>
    <w:rsid w:val="006A055F"/>
    <w:rsid w:val="006A3DEB"/>
    <w:rsid w:val="006A6954"/>
    <w:rsid w:val="006C0CBE"/>
    <w:rsid w:val="006C5DB4"/>
    <w:rsid w:val="006D06EE"/>
    <w:rsid w:val="006E223F"/>
    <w:rsid w:val="006F71C5"/>
    <w:rsid w:val="00702230"/>
    <w:rsid w:val="00705B01"/>
    <w:rsid w:val="007116B7"/>
    <w:rsid w:val="00711932"/>
    <w:rsid w:val="00714655"/>
    <w:rsid w:val="00726F02"/>
    <w:rsid w:val="00732BF6"/>
    <w:rsid w:val="007368C3"/>
    <w:rsid w:val="00740E3F"/>
    <w:rsid w:val="00743BD4"/>
    <w:rsid w:val="007449BA"/>
    <w:rsid w:val="00744C0A"/>
    <w:rsid w:val="00751764"/>
    <w:rsid w:val="00761D2B"/>
    <w:rsid w:val="00762558"/>
    <w:rsid w:val="007705BF"/>
    <w:rsid w:val="007801E2"/>
    <w:rsid w:val="00780A6E"/>
    <w:rsid w:val="00784C09"/>
    <w:rsid w:val="007879D9"/>
    <w:rsid w:val="007928CF"/>
    <w:rsid w:val="007A1BC2"/>
    <w:rsid w:val="007A6D88"/>
    <w:rsid w:val="007C2DEB"/>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5692"/>
    <w:rsid w:val="0088713D"/>
    <w:rsid w:val="008A58A5"/>
    <w:rsid w:val="008A7D57"/>
    <w:rsid w:val="008E0540"/>
    <w:rsid w:val="008E39E4"/>
    <w:rsid w:val="008E4532"/>
    <w:rsid w:val="008E79B0"/>
    <w:rsid w:val="008F0EC7"/>
    <w:rsid w:val="008F1D61"/>
    <w:rsid w:val="008F4AE2"/>
    <w:rsid w:val="00900AE3"/>
    <w:rsid w:val="0090169D"/>
    <w:rsid w:val="0091362C"/>
    <w:rsid w:val="00916497"/>
    <w:rsid w:val="0092583B"/>
    <w:rsid w:val="009342D2"/>
    <w:rsid w:val="00947D9E"/>
    <w:rsid w:val="009747C6"/>
    <w:rsid w:val="00974BA2"/>
    <w:rsid w:val="00976DD6"/>
    <w:rsid w:val="00982DBC"/>
    <w:rsid w:val="009906C6"/>
    <w:rsid w:val="00992893"/>
    <w:rsid w:val="009A1FA9"/>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2648A"/>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E3220"/>
    <w:rsid w:val="00AE35A2"/>
    <w:rsid w:val="00AE38AC"/>
    <w:rsid w:val="00AE58CF"/>
    <w:rsid w:val="00B00BA6"/>
    <w:rsid w:val="00B02A98"/>
    <w:rsid w:val="00B10009"/>
    <w:rsid w:val="00B12216"/>
    <w:rsid w:val="00B24109"/>
    <w:rsid w:val="00B30BBE"/>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F2A7B"/>
    <w:rsid w:val="00BF4E4B"/>
    <w:rsid w:val="00C00485"/>
    <w:rsid w:val="00C00FC6"/>
    <w:rsid w:val="00C114CB"/>
    <w:rsid w:val="00C2119F"/>
    <w:rsid w:val="00C235D8"/>
    <w:rsid w:val="00C25950"/>
    <w:rsid w:val="00C2725F"/>
    <w:rsid w:val="00C42C9F"/>
    <w:rsid w:val="00C57F7E"/>
    <w:rsid w:val="00C847CB"/>
    <w:rsid w:val="00C87711"/>
    <w:rsid w:val="00C90797"/>
    <w:rsid w:val="00CA0DFF"/>
    <w:rsid w:val="00CA1A4A"/>
    <w:rsid w:val="00CA78CC"/>
    <w:rsid w:val="00CB0417"/>
    <w:rsid w:val="00CC28BB"/>
    <w:rsid w:val="00CE5014"/>
    <w:rsid w:val="00CE6163"/>
    <w:rsid w:val="00CF6F80"/>
    <w:rsid w:val="00D15B9A"/>
    <w:rsid w:val="00D168EE"/>
    <w:rsid w:val="00D21462"/>
    <w:rsid w:val="00D309B7"/>
    <w:rsid w:val="00D30FF2"/>
    <w:rsid w:val="00D55CE5"/>
    <w:rsid w:val="00D562BB"/>
    <w:rsid w:val="00D62AB7"/>
    <w:rsid w:val="00D64DE9"/>
    <w:rsid w:val="00D670CF"/>
    <w:rsid w:val="00D84D59"/>
    <w:rsid w:val="00D8654F"/>
    <w:rsid w:val="00D90DFD"/>
    <w:rsid w:val="00D95CF2"/>
    <w:rsid w:val="00DA468A"/>
    <w:rsid w:val="00DA5B60"/>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AC3"/>
    <w:rsid w:val="00F8420D"/>
    <w:rsid w:val="00FB059D"/>
    <w:rsid w:val="00FB6584"/>
    <w:rsid w:val="00FC04CF"/>
    <w:rsid w:val="00FC39FC"/>
    <w:rsid w:val="00FD0248"/>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uiPriority="22"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uiPriority w:val="22"/>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link w:val="ac"/>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d">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e">
    <w:name w:val="Знак Знак Знак Знак"/>
    <w:basedOn w:val="a"/>
    <w:rsid w:val="000B46E9"/>
    <w:pPr>
      <w:spacing w:after="0" w:line="240" w:lineRule="auto"/>
    </w:pPr>
    <w:rPr>
      <w:rFonts w:ascii="Verdana" w:hAnsi="Verdana"/>
      <w:sz w:val="20"/>
      <w:szCs w:val="20"/>
      <w:lang w:val="en-US"/>
    </w:rPr>
  </w:style>
  <w:style w:type="character" w:customStyle="1" w:styleId="ac">
    <w:name w:val="Основной текст Знак"/>
    <w:link w:val="ab"/>
    <w:rsid w:val="009A1FA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ank.dtkt.ua/blank/251" TargetMode="External"/><Relationship Id="rId5" Type="http://schemas.openxmlformats.org/officeDocument/2006/relationships/settings" Target="settings.xml"/><Relationship Id="rId10" Type="http://schemas.openxmlformats.org/officeDocument/2006/relationships/hyperlink" Target="https://blank.dtkt.ua/blank/232" TargetMode="External"/><Relationship Id="rId4" Type="http://schemas.microsoft.com/office/2007/relationships/stylesWithEffects" Target="stylesWithEffects.xml"/><Relationship Id="rId9" Type="http://schemas.openxmlformats.org/officeDocument/2006/relationships/hyperlink" Target="https://docs.dtkt.ua/doc/12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5961-C232-4182-B04C-806FF990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0</Words>
  <Characters>91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testpk</cp:lastModifiedBy>
  <cp:revision>20</cp:revision>
  <cp:lastPrinted>2019-10-22T09:29:00Z</cp:lastPrinted>
  <dcterms:created xsi:type="dcterms:W3CDTF">2020-01-13T09:07:00Z</dcterms:created>
  <dcterms:modified xsi:type="dcterms:W3CDTF">2020-01-13T10:29:00Z</dcterms:modified>
</cp:coreProperties>
</file>