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5B5E46"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835EC9" w:rsidRPr="00835EC9" w:rsidRDefault="00835EC9" w:rsidP="00835EC9">
                    <w:pPr>
                      <w:spacing w:after="0" w:line="240" w:lineRule="auto"/>
                      <w:jc w:val="center"/>
                      <w:rPr>
                        <w:rFonts w:ascii="Times New Roman" w:hAnsi="Times New Roman"/>
                        <w:sz w:val="56"/>
                        <w:szCs w:val="56"/>
                      </w:rPr>
                    </w:pPr>
                    <w:r w:rsidRPr="00835EC9">
                      <w:rPr>
                        <w:rFonts w:ascii="Times New Roman" w:hAnsi="Times New Roman"/>
                        <w:b/>
                        <w:sz w:val="56"/>
                        <w:szCs w:val="56"/>
                      </w:rPr>
                      <w:t>Для визначення податкової амортизації дозволено застосовувати «виробничий» метод</w:t>
                    </w:r>
                  </w:p>
                  <w:p w:rsidR="00D31406" w:rsidRPr="003E2027" w:rsidRDefault="00D31406" w:rsidP="00D31406">
                    <w:pPr>
                      <w:spacing w:after="0" w:line="240" w:lineRule="auto"/>
                      <w:jc w:val="center"/>
                      <w:textAlignment w:val="baseline"/>
                      <w:rPr>
                        <w:rFonts w:ascii="Times New Roman" w:hAnsi="Times New Roman"/>
                        <w:b/>
                        <w:color w:val="1D1D1B"/>
                        <w:sz w:val="56"/>
                        <w:szCs w:val="56"/>
                        <w:lang w:eastAsia="uk-UA"/>
                      </w:rPr>
                    </w:pP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D31406" w:rsidRDefault="000616F2" w:rsidP="00CC28BB">
                  <w:pPr>
                    <w:rPr>
                      <w:rFonts w:ascii="Times New Roman" w:hAnsi="Times New Roman"/>
                      <w:i/>
                      <w:sz w:val="20"/>
                      <w:szCs w:val="20"/>
                    </w:rPr>
                  </w:pPr>
                  <w:r>
                    <w:rPr>
                      <w:rFonts w:ascii="Times New Roman" w:hAnsi="Times New Roman"/>
                      <w:i/>
                      <w:sz w:val="20"/>
                      <w:szCs w:val="20"/>
                    </w:rPr>
                    <w:t>серпень</w:t>
                  </w:r>
                  <w:r w:rsidR="00D31406" w:rsidRPr="00D31406">
                    <w:rPr>
                      <w:rFonts w:ascii="Times New Roman" w:hAnsi="Times New Roman"/>
                      <w:i/>
                      <w:sz w:val="20"/>
                      <w:szCs w:val="20"/>
                    </w:rPr>
                    <w:t xml:space="preserve">2020 </w:t>
                  </w:r>
                  <w:r w:rsidR="005506B3" w:rsidRPr="00D31406">
                    <w:rPr>
                      <w:rFonts w:ascii="Times New Roman" w:hAnsi="Times New Roman"/>
                      <w:i/>
                      <w:sz w:val="20"/>
                      <w:szCs w:val="20"/>
                    </w:rPr>
                    <w:t>року</w:t>
                  </w:r>
                </w:p>
                <w:p w:rsidR="001428D3" w:rsidRPr="00CC28BB" w:rsidRDefault="001428D3" w:rsidP="00CC28BB"/>
              </w:txbxContent>
            </v:textbox>
          </v:shape>
        </w:pict>
      </w:r>
    </w:p>
    <w:p w:rsidR="001428D3" w:rsidRDefault="005B5E46">
      <w:r>
        <w:rPr>
          <w:noProof/>
          <w:lang w:eastAsia="uk-UA"/>
        </w:rPr>
        <w:pict>
          <v:shape id="_x0000_s1313" type="#_x0000_t202" style="position:absolute;margin-left:-12pt;margin-top:9.7pt;width:380.9pt;height:99.8pt;z-index:21" strokecolor="white">
            <v:textbox style="mso-next-textbox:#_x0000_s1313;mso-fit-shape-to-text:t">
              <w:txbxContent>
                <w:p w:rsidR="000134FF" w:rsidRDefault="000134FF" w:rsidP="00393CDE">
                  <w:pPr>
                    <w:spacing w:after="0" w:line="240" w:lineRule="auto"/>
                    <w:jc w:val="both"/>
                    <w:rPr>
                      <w:rFonts w:ascii="Times New Roman" w:hAnsi="Times New Roman"/>
                      <w:sz w:val="26"/>
                      <w:szCs w:val="26"/>
                    </w:rPr>
                  </w:pPr>
                </w:p>
                <w:p w:rsidR="00ED52ED" w:rsidRPr="0047571C" w:rsidRDefault="005B5E46" w:rsidP="00393CDE">
                  <w:pPr>
                    <w:spacing w:after="0" w:line="240" w:lineRule="auto"/>
                    <w:jc w:val="both"/>
                    <w:rPr>
                      <w:rFonts w:ascii="Times New Roman" w:hAnsi="Times New Roman"/>
                      <w:sz w:val="26"/>
                      <w:szCs w:val="26"/>
                    </w:rPr>
                  </w:pPr>
                  <w:r>
                    <w:rPr>
                      <w:rFonts w:ascii="Times New Roman" w:hAnsi="Times New Roman"/>
                      <w:sz w:val="26"/>
                      <w:szCs w:val="26"/>
                    </w:rPr>
                    <w:pict>
                      <v:shape id="_x0000_i1025" type="#_x0000_t75" style="width:364.25pt;height:221.95pt">
                        <v:imagedata r:id="rId8" o:title="466"/>
                      </v:shape>
                    </w:pict>
                  </w:r>
                </w:p>
              </w:txbxContent>
            </v:textbox>
          </v:shape>
        </w:pict>
      </w:r>
    </w:p>
    <w:p w:rsidR="001428D3" w:rsidRDefault="001428D3"/>
    <w:p w:rsidR="001428D3" w:rsidRDefault="001428D3"/>
    <w:p w:rsidR="001428D3" w:rsidRDefault="001428D3"/>
    <w:p w:rsidR="00C34F46" w:rsidRDefault="00C34F46"/>
    <w:p w:rsidR="00C34F46" w:rsidRPr="007E1B35" w:rsidRDefault="00C34F46"/>
    <w:p w:rsidR="00AE358A" w:rsidRPr="007E1B35" w:rsidRDefault="00AE358A"/>
    <w:p w:rsidR="00C34F46" w:rsidRPr="007E1B35" w:rsidRDefault="00C34F46"/>
    <w:p w:rsidR="00AE358A" w:rsidRPr="007E1B35" w:rsidRDefault="00AE358A"/>
    <w:p w:rsidR="00AE358A" w:rsidRPr="007E1B35" w:rsidRDefault="00AE358A"/>
    <w:p w:rsidR="00AE358A" w:rsidRPr="007E1B35" w:rsidRDefault="00AE358A"/>
    <w:p w:rsidR="00AE358A" w:rsidRPr="007E1B35" w:rsidRDefault="00AE358A"/>
    <w:p w:rsidR="00AE358A" w:rsidRPr="007E1B35" w:rsidRDefault="00AE358A"/>
    <w:p w:rsidR="00AE358A" w:rsidRPr="007E1B35" w:rsidRDefault="00AE358A"/>
    <w:p w:rsidR="001428D3" w:rsidRDefault="001428D3"/>
    <w:p w:rsidR="000134FF" w:rsidRDefault="000134FF"/>
    <w:p w:rsidR="001428D3" w:rsidRDefault="001428D3"/>
    <w:p w:rsidR="001428D3" w:rsidRDefault="005B5E46">
      <w:r>
        <w:rPr>
          <w:noProof/>
          <w:lang w:eastAsia="uk-UA"/>
        </w:rPr>
        <w:pict>
          <v:shape id="Поле 11" o:spid="_x0000_s1037" type="#_x0000_t202" style="position:absolute;margin-left:-14.45pt;margin-top:2.8pt;width:388.3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9F0D45" w:rsidRPr="00FE0531" w:rsidRDefault="009F0D45" w:rsidP="009F0D45">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sidR="00C5376D">
                    <w:rPr>
                      <w:rStyle w:val="a8"/>
                      <w:spacing w:val="-4"/>
                      <w:sz w:val="18"/>
                      <w:szCs w:val="18"/>
                    </w:rPr>
                    <w:t>т</w:t>
                  </w:r>
                  <w:r w:rsidRPr="00FE0531">
                    <w:rPr>
                      <w:rStyle w:val="a8"/>
                      <w:spacing w:val="-4"/>
                      <w:sz w:val="18"/>
                      <w:szCs w:val="18"/>
                    </w:rPr>
                    <w:t>ериторіальн</w:t>
                  </w:r>
                  <w:r w:rsidR="00C5376D">
                    <w:rPr>
                      <w:rStyle w:val="a8"/>
                      <w:spacing w:val="-4"/>
                      <w:sz w:val="18"/>
                      <w:szCs w:val="18"/>
                    </w:rPr>
                    <w:t>их</w:t>
                  </w:r>
                  <w:r w:rsidRPr="00FE0531">
                    <w:rPr>
                      <w:rStyle w:val="a8"/>
                      <w:spacing w:val="-4"/>
                      <w:sz w:val="18"/>
                      <w:szCs w:val="18"/>
                    </w:rPr>
                    <w:t xml:space="preserve"> орган</w:t>
                  </w:r>
                  <w:r w:rsidR="00C5376D">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9F0D45" w:rsidRPr="00FE0531" w:rsidRDefault="009F0D45" w:rsidP="009F0D45">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9F0D45" w:rsidRPr="00FE0531" w:rsidRDefault="009F0D45" w:rsidP="009F0D45">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5B5E46">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5B5E46">
      <w:r>
        <w:rPr>
          <w:noProof/>
          <w:lang w:eastAsia="uk-UA"/>
        </w:rPr>
        <w:pict>
          <v:oval id="_x0000_s1295" style="position:absolute;margin-left:581.35pt;margin-top:40.75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r>
        <w:rPr>
          <w:noProof/>
          <w:lang w:eastAsia="uk-UA"/>
        </w:rPr>
        <w:pict>
          <v:oval id="_x0000_s1296" style="position:absolute;margin-left:159.65pt;margin-top:40.75pt;width:23.25pt;height:23.45pt;z-index:1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p>
    <w:p w:rsidR="00DC4CEE" w:rsidRDefault="005B5E46">
      <w:r>
        <w:rPr>
          <w:noProof/>
          <w:lang w:eastAsia="uk-UA"/>
        </w:rPr>
        <w:lastRenderedPageBreak/>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5B5E46">
      <w:r>
        <w:rPr>
          <w:noProof/>
          <w:lang w:eastAsia="uk-UA"/>
        </w:rPr>
        <w:pict>
          <v:shape id="_x0000_s1310" type="#_x0000_t202" style="position:absolute;margin-left:408.7pt;margin-top:3.75pt;width:372.7pt;height:481.15pt;z-index:20" strokecolor="white">
            <v:textbox>
              <w:txbxContent>
                <w:p w:rsidR="00835EC9" w:rsidRPr="00A9419C" w:rsidRDefault="00835EC9" w:rsidP="005B5E46">
                  <w:pPr>
                    <w:spacing w:after="0" w:line="240" w:lineRule="auto"/>
                    <w:ind w:firstLine="708"/>
                    <w:jc w:val="both"/>
                    <w:rPr>
                      <w:rFonts w:ascii="Times New Roman" w:hAnsi="Times New Roman"/>
                      <w:sz w:val="26"/>
                      <w:szCs w:val="26"/>
                    </w:rPr>
                  </w:pPr>
                  <w:r w:rsidRPr="00A9419C">
                    <w:rPr>
                      <w:rFonts w:ascii="Times New Roman" w:hAnsi="Times New Roman"/>
                      <w:sz w:val="26"/>
                      <w:szCs w:val="26"/>
                    </w:rPr>
                    <w:t>Законом № 466 з 23 травня 2020 року змінено вартісний критерій визначення основних засобів з 6000 до 20000 гривень. Цей критерій буде застосовуватись до основних засобів, що вводяться в експлуатацію після 22 травня 2020 року. Основні засоби, введені в експлуатацію до 23 травня 2020 року продовжують амортизуватись у податковому обліку, навіть якщо їх залишкова балансова вартість не перевищує 20000 гривень.</w:t>
                  </w:r>
                </w:p>
                <w:p w:rsidR="00835EC9" w:rsidRPr="00A9419C" w:rsidRDefault="00835EC9" w:rsidP="005B5E46">
                  <w:pPr>
                    <w:spacing w:after="0" w:line="240" w:lineRule="auto"/>
                    <w:ind w:firstLine="708"/>
                    <w:jc w:val="both"/>
                    <w:rPr>
                      <w:rFonts w:ascii="Times New Roman" w:hAnsi="Times New Roman"/>
                      <w:sz w:val="26"/>
                      <w:szCs w:val="26"/>
                    </w:rPr>
                  </w:pPr>
                  <w:r w:rsidRPr="00A9419C">
                    <w:rPr>
                      <w:rFonts w:ascii="Times New Roman" w:hAnsi="Times New Roman"/>
                      <w:sz w:val="26"/>
                      <w:szCs w:val="26"/>
                    </w:rPr>
                    <w:t>Законом № 466 підрозділ 4 розділу XX Кодексу доповнено новим пунктом 43 і, яким передбачено, що при визначенні об’єкта оподаткування податком на прибуток підприємств на період з 01 січня 2020 року до 31 грудня 2030 року платники податку на прибуток мають право під час розрахунку амортизації щодо основних засобів:</w:t>
                  </w:r>
                </w:p>
                <w:p w:rsidR="00835EC9" w:rsidRPr="00A9419C" w:rsidRDefault="00835EC9" w:rsidP="00835EC9">
                  <w:pPr>
                    <w:spacing w:after="0" w:line="240" w:lineRule="auto"/>
                    <w:jc w:val="both"/>
                    <w:rPr>
                      <w:rFonts w:ascii="Times New Roman" w:hAnsi="Times New Roman"/>
                      <w:sz w:val="26"/>
                      <w:szCs w:val="26"/>
                    </w:rPr>
                  </w:pPr>
                  <w:r w:rsidRPr="00A9419C">
                    <w:rPr>
                      <w:rFonts w:ascii="Times New Roman" w:hAnsi="Times New Roman"/>
                      <w:sz w:val="26"/>
                      <w:szCs w:val="26"/>
                    </w:rPr>
                    <w:t>четвертої групи (машини та обладнання) та п’ятої групи використовувати мінімально допустимий строк амортизації, який дорівнює два роки;</w:t>
                  </w:r>
                </w:p>
                <w:p w:rsidR="00835EC9" w:rsidRPr="00A9419C" w:rsidRDefault="00835EC9" w:rsidP="00835EC9">
                  <w:pPr>
                    <w:spacing w:after="0" w:line="240" w:lineRule="auto"/>
                    <w:jc w:val="both"/>
                    <w:rPr>
                      <w:rFonts w:ascii="Times New Roman" w:hAnsi="Times New Roman"/>
                      <w:sz w:val="26"/>
                      <w:szCs w:val="26"/>
                    </w:rPr>
                  </w:pPr>
                  <w:r w:rsidRPr="00A9419C">
                    <w:rPr>
                      <w:rFonts w:ascii="Times New Roman" w:hAnsi="Times New Roman"/>
                      <w:sz w:val="26"/>
                      <w:szCs w:val="26"/>
                    </w:rPr>
                    <w:t>третьої групи (передавальні пристрої) та дев’ятої групи використовувати мінімально допустимий строк амортизації, який дорівнює п’ять років.</w:t>
                  </w:r>
                </w:p>
                <w:p w:rsidR="00835EC9" w:rsidRPr="00A9419C" w:rsidRDefault="00835EC9" w:rsidP="005B5E46">
                  <w:pPr>
                    <w:spacing w:after="0" w:line="240" w:lineRule="auto"/>
                    <w:ind w:firstLine="708"/>
                    <w:jc w:val="both"/>
                    <w:rPr>
                      <w:rFonts w:ascii="Times New Roman" w:hAnsi="Times New Roman"/>
                      <w:sz w:val="26"/>
                      <w:szCs w:val="26"/>
                    </w:rPr>
                  </w:pPr>
                  <w:r w:rsidRPr="00A9419C">
                    <w:rPr>
                      <w:rFonts w:ascii="Times New Roman" w:hAnsi="Times New Roman"/>
                      <w:sz w:val="26"/>
                      <w:szCs w:val="26"/>
                    </w:rPr>
                    <w:t>Таким чином, платники податку на прибуток підприємств мають право застосувати прискорену амортизацію, визначену пунктом 43 і підрозділу 4 розділу XX Кодексу, починаючи зі звітного періоду - півріччя 2020 року, та відобразити відповідні суми прискореної амортизації у додатку АМ до Декларації за цей період.</w:t>
                  </w:r>
                </w:p>
                <w:p w:rsidR="00835EC9" w:rsidRPr="00A9419C" w:rsidRDefault="00835EC9" w:rsidP="005B5E46">
                  <w:pPr>
                    <w:spacing w:after="0" w:line="240" w:lineRule="auto"/>
                    <w:ind w:firstLine="708"/>
                    <w:jc w:val="both"/>
                    <w:rPr>
                      <w:rFonts w:ascii="Times New Roman" w:hAnsi="Times New Roman"/>
                      <w:sz w:val="26"/>
                      <w:szCs w:val="26"/>
                    </w:rPr>
                  </w:pPr>
                  <w:r w:rsidRPr="00A9419C">
                    <w:rPr>
                      <w:rFonts w:ascii="Times New Roman" w:hAnsi="Times New Roman"/>
                      <w:sz w:val="26"/>
                      <w:szCs w:val="26"/>
                    </w:rPr>
                    <w:t xml:space="preserve">Довідково: Закон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w:t>
                  </w:r>
                  <w:proofErr w:type="spellStart"/>
                  <w:r w:rsidRPr="00A9419C">
                    <w:rPr>
                      <w:rFonts w:ascii="Times New Roman" w:hAnsi="Times New Roman"/>
                      <w:sz w:val="26"/>
                      <w:szCs w:val="26"/>
                    </w:rPr>
                    <w:t>неузгодженост</w:t>
                  </w:r>
                  <w:bookmarkStart w:id="0" w:name="_GoBack"/>
                  <w:bookmarkEnd w:id="0"/>
                  <w:r w:rsidRPr="00A9419C">
                    <w:rPr>
                      <w:rFonts w:ascii="Times New Roman" w:hAnsi="Times New Roman"/>
                      <w:sz w:val="26"/>
                      <w:szCs w:val="26"/>
                    </w:rPr>
                    <w:t>ей</w:t>
                  </w:r>
                  <w:proofErr w:type="spellEnd"/>
                  <w:r w:rsidRPr="00A9419C">
                    <w:rPr>
                      <w:rFonts w:ascii="Times New Roman" w:hAnsi="Times New Roman"/>
                      <w:sz w:val="26"/>
                      <w:szCs w:val="26"/>
                    </w:rPr>
                    <w:t xml:space="preserve"> у податковому законодавстві».</w:t>
                  </w:r>
                </w:p>
              </w:txbxContent>
            </v:textbox>
          </v:shape>
        </w:pict>
      </w:r>
      <w:r>
        <w:rPr>
          <w:noProof/>
          <w:lang w:eastAsia="uk-UA"/>
        </w:rPr>
        <w:pict>
          <v:shape id="_x0000_s1309" type="#_x0000_t202" style="position:absolute;margin-left:-8.05pt;margin-top:3.75pt;width:369.3pt;height:481.15pt;z-index:19" strokecolor="white">
            <v:textbox>
              <w:txbxContent>
                <w:p w:rsidR="00835EC9" w:rsidRPr="00A9419C" w:rsidRDefault="007E1B35" w:rsidP="005B5E46">
                  <w:pPr>
                    <w:spacing w:after="0" w:line="240" w:lineRule="auto"/>
                    <w:ind w:firstLine="708"/>
                    <w:jc w:val="both"/>
                    <w:rPr>
                      <w:rFonts w:ascii="Times New Roman" w:hAnsi="Times New Roman"/>
                      <w:sz w:val="26"/>
                      <w:szCs w:val="26"/>
                    </w:rPr>
                  </w:pPr>
                  <w:r w:rsidRPr="0047571C">
                    <w:rPr>
                      <w:rFonts w:ascii="Times New Roman" w:hAnsi="Times New Roman"/>
                      <w:sz w:val="26"/>
                      <w:szCs w:val="26"/>
                    </w:rPr>
                    <w:t>Головне управління ДПС у Волинській області повідомляє,</w:t>
                  </w:r>
                  <w:r w:rsidR="00835EC9" w:rsidRPr="00835EC9">
                    <w:rPr>
                      <w:rFonts w:ascii="Times New Roman" w:hAnsi="Times New Roman"/>
                      <w:sz w:val="26"/>
                      <w:szCs w:val="26"/>
                      <w:lang w:val="ru-RU"/>
                    </w:rPr>
                    <w:t xml:space="preserve"> </w:t>
                  </w:r>
                  <w:proofErr w:type="spellStart"/>
                  <w:r w:rsidR="00835EC9">
                    <w:rPr>
                      <w:rFonts w:ascii="Times New Roman" w:hAnsi="Times New Roman"/>
                      <w:sz w:val="26"/>
                      <w:szCs w:val="26"/>
                      <w:lang w:val="ru-RU"/>
                    </w:rPr>
                    <w:t>що</w:t>
                  </w:r>
                  <w:proofErr w:type="spellEnd"/>
                  <w:r w:rsidR="00835EC9">
                    <w:rPr>
                      <w:rFonts w:ascii="Times New Roman" w:hAnsi="Times New Roman"/>
                      <w:sz w:val="26"/>
                      <w:szCs w:val="26"/>
                      <w:lang w:val="ru-RU"/>
                    </w:rPr>
                    <w:t xml:space="preserve"> п</w:t>
                  </w:r>
                  <w:r w:rsidR="00835EC9" w:rsidRPr="00A9419C">
                    <w:rPr>
                      <w:rFonts w:ascii="Times New Roman" w:hAnsi="Times New Roman"/>
                      <w:sz w:val="26"/>
                      <w:szCs w:val="26"/>
                    </w:rPr>
                    <w:t>латники податку на прибуток можуть прийняти рішення про застосування з II - IV кварталу 2020 року «виробничого» методу нарахування амортизації при визначенні об’єкта оподаткування податком на прибуток до основних засобів, амортизацію яких розпочато за іншим методом. Такі платники податку зобов’язані провести інвентаризацію цих об’єктів основних засобів станом на перше число податкового (звітного) періоду 2020 року, у якому прийнято рішення про застосування «виробничого» методу.</w:t>
                  </w:r>
                </w:p>
                <w:p w:rsidR="00835EC9" w:rsidRPr="00A9419C" w:rsidRDefault="00835EC9" w:rsidP="005B5E46">
                  <w:pPr>
                    <w:spacing w:after="0" w:line="240" w:lineRule="auto"/>
                    <w:ind w:firstLine="708"/>
                    <w:jc w:val="both"/>
                    <w:rPr>
                      <w:rFonts w:ascii="Times New Roman" w:hAnsi="Times New Roman"/>
                      <w:sz w:val="26"/>
                      <w:szCs w:val="26"/>
                    </w:rPr>
                  </w:pPr>
                  <w:r w:rsidRPr="00A9419C">
                    <w:rPr>
                      <w:rFonts w:ascii="Times New Roman" w:hAnsi="Times New Roman"/>
                      <w:sz w:val="26"/>
                      <w:szCs w:val="26"/>
                    </w:rPr>
                    <w:t>Враховуючи, що відповідно до пункту 49.19 статті 49 Кодексу для цілей податку на прибуток підприємств «базовим звітним (податковим) періодом» є календарний квартал, то платники, які прийняти рішення про застосування з II кварталу 2020 року «виробничого» методу нарахування податкової амортизації до основних засобів, амортизацію яких розпочато за іншим методом, зобов’язані провести інвентаризацію цих об’єктів основних засобів станом на 01 квітня 2020 року.</w:t>
                  </w:r>
                </w:p>
                <w:p w:rsidR="00835EC9" w:rsidRPr="00A9419C" w:rsidRDefault="00835EC9" w:rsidP="005B5E46">
                  <w:pPr>
                    <w:spacing w:after="0" w:line="240" w:lineRule="auto"/>
                    <w:ind w:firstLine="708"/>
                    <w:jc w:val="both"/>
                    <w:rPr>
                      <w:rFonts w:ascii="Times New Roman" w:hAnsi="Times New Roman"/>
                      <w:sz w:val="26"/>
                      <w:szCs w:val="26"/>
                    </w:rPr>
                  </w:pPr>
                  <w:r w:rsidRPr="00A9419C">
                    <w:rPr>
                      <w:rFonts w:ascii="Times New Roman" w:hAnsi="Times New Roman"/>
                      <w:sz w:val="26"/>
                      <w:szCs w:val="26"/>
                    </w:rPr>
                    <w:t>Як передбачено пунктом 52 підрозділу 4 розділу XX Кодексу, якщо загальна балансова вартість (без урахування переоцінки) основних засобів за даними бухгалтерського обліку станом на 01 квітня 2020 року менша ніж балансова (залишкова) вартість основних засобів, розрахована відповідно до вимог розділу III цього Кодексу, різниця, що виникає в результаті такого порівняння, амортизується як окремий об’єкт основних засобів із застосуванням «прямолінійного» методу нарахування амортизації протягом двадцяти податкових (звітних) кварталів та зменшує фінансовий результат до оподаткування за відповідний податковий (звітний) період. Така амортизація вперше буде відображена у додатку АМ до Декларації за півріччя 2020 року.</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5B5E46">
      <w:pPr>
        <w:rPr>
          <w:lang w:val="ru-RU"/>
        </w:rPr>
      </w:pPr>
      <w:r>
        <w:rPr>
          <w:noProof/>
          <w:lang w:eastAsia="uk-UA"/>
        </w:rPr>
        <w:pict>
          <v:oval id="_x0000_s1301" style="position:absolute;margin-left:165.35pt;margin-top:9.95pt;width:23.25pt;height:23.45pt;z-index:17"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18"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A5265C"/>
    <w:multiLevelType w:val="hybridMultilevel"/>
    <w:tmpl w:val="88AA6EA6"/>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4521690"/>
    <w:multiLevelType w:val="hybridMultilevel"/>
    <w:tmpl w:val="84A8C21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15"/>
  </w:num>
  <w:num w:numId="4">
    <w:abstractNumId w:val="18"/>
  </w:num>
  <w:num w:numId="5">
    <w:abstractNumId w:val="12"/>
  </w:num>
  <w:num w:numId="6">
    <w:abstractNumId w:val="17"/>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2"/>
  </w:num>
  <w:num w:numId="22">
    <w:abstractNumId w:val="21"/>
  </w:num>
  <w:num w:numId="23">
    <w:abstractNumId w:val="19"/>
  </w:num>
  <w:num w:numId="24">
    <w:abstractNumId w:val="24"/>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4FF"/>
    <w:rsid w:val="00013C38"/>
    <w:rsid w:val="00015722"/>
    <w:rsid w:val="00034E30"/>
    <w:rsid w:val="00037CA1"/>
    <w:rsid w:val="000429FD"/>
    <w:rsid w:val="000569F6"/>
    <w:rsid w:val="000616F2"/>
    <w:rsid w:val="00071C57"/>
    <w:rsid w:val="00083860"/>
    <w:rsid w:val="000955E8"/>
    <w:rsid w:val="000A16E2"/>
    <w:rsid w:val="000A5719"/>
    <w:rsid w:val="000B00B0"/>
    <w:rsid w:val="000B46E9"/>
    <w:rsid w:val="000B7872"/>
    <w:rsid w:val="000C3528"/>
    <w:rsid w:val="000C5394"/>
    <w:rsid w:val="000C549F"/>
    <w:rsid w:val="000C67F0"/>
    <w:rsid w:val="000C6FF9"/>
    <w:rsid w:val="000E2BB4"/>
    <w:rsid w:val="000F0E8F"/>
    <w:rsid w:val="001029F3"/>
    <w:rsid w:val="00105EC5"/>
    <w:rsid w:val="0011043C"/>
    <w:rsid w:val="00134A21"/>
    <w:rsid w:val="00136364"/>
    <w:rsid w:val="001366B5"/>
    <w:rsid w:val="001428D3"/>
    <w:rsid w:val="00150FBD"/>
    <w:rsid w:val="00155145"/>
    <w:rsid w:val="0016476A"/>
    <w:rsid w:val="001669FE"/>
    <w:rsid w:val="00166DF7"/>
    <w:rsid w:val="0017167D"/>
    <w:rsid w:val="00180B29"/>
    <w:rsid w:val="0019105C"/>
    <w:rsid w:val="00194E9E"/>
    <w:rsid w:val="001B1578"/>
    <w:rsid w:val="001B1C3C"/>
    <w:rsid w:val="001D184B"/>
    <w:rsid w:val="001D2D30"/>
    <w:rsid w:val="001D67FC"/>
    <w:rsid w:val="001E0F13"/>
    <w:rsid w:val="001E2471"/>
    <w:rsid w:val="001E2F29"/>
    <w:rsid w:val="001E760F"/>
    <w:rsid w:val="0020212F"/>
    <w:rsid w:val="00215A69"/>
    <w:rsid w:val="002208B7"/>
    <w:rsid w:val="0022498D"/>
    <w:rsid w:val="0022740A"/>
    <w:rsid w:val="00233795"/>
    <w:rsid w:val="00234294"/>
    <w:rsid w:val="00234F98"/>
    <w:rsid w:val="00254FF1"/>
    <w:rsid w:val="00263AD8"/>
    <w:rsid w:val="00275AFC"/>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12D90"/>
    <w:rsid w:val="00340C6C"/>
    <w:rsid w:val="00362414"/>
    <w:rsid w:val="003660AD"/>
    <w:rsid w:val="0037551C"/>
    <w:rsid w:val="00376A18"/>
    <w:rsid w:val="003814E8"/>
    <w:rsid w:val="00390E57"/>
    <w:rsid w:val="00393CDE"/>
    <w:rsid w:val="003A2CD5"/>
    <w:rsid w:val="003A5040"/>
    <w:rsid w:val="003D52D7"/>
    <w:rsid w:val="003E2027"/>
    <w:rsid w:val="003E4BE8"/>
    <w:rsid w:val="003E7E0E"/>
    <w:rsid w:val="003F4AF4"/>
    <w:rsid w:val="00400221"/>
    <w:rsid w:val="00403DDE"/>
    <w:rsid w:val="00406E96"/>
    <w:rsid w:val="00423AB9"/>
    <w:rsid w:val="00424015"/>
    <w:rsid w:val="00430379"/>
    <w:rsid w:val="00432AF3"/>
    <w:rsid w:val="00440693"/>
    <w:rsid w:val="004416E9"/>
    <w:rsid w:val="0045019C"/>
    <w:rsid w:val="00460579"/>
    <w:rsid w:val="0046237E"/>
    <w:rsid w:val="0046327A"/>
    <w:rsid w:val="00464BC4"/>
    <w:rsid w:val="00482091"/>
    <w:rsid w:val="004A3CB5"/>
    <w:rsid w:val="004A3DA8"/>
    <w:rsid w:val="004B2E63"/>
    <w:rsid w:val="004B395D"/>
    <w:rsid w:val="004B710C"/>
    <w:rsid w:val="004C3977"/>
    <w:rsid w:val="004C46D6"/>
    <w:rsid w:val="0050066C"/>
    <w:rsid w:val="00511ACE"/>
    <w:rsid w:val="005129AB"/>
    <w:rsid w:val="00520BC1"/>
    <w:rsid w:val="00524B40"/>
    <w:rsid w:val="00534CCB"/>
    <w:rsid w:val="005506B3"/>
    <w:rsid w:val="00550B0B"/>
    <w:rsid w:val="00553BBE"/>
    <w:rsid w:val="00556971"/>
    <w:rsid w:val="00557AAD"/>
    <w:rsid w:val="00567879"/>
    <w:rsid w:val="005714BB"/>
    <w:rsid w:val="00584C55"/>
    <w:rsid w:val="00585865"/>
    <w:rsid w:val="005870CD"/>
    <w:rsid w:val="00595206"/>
    <w:rsid w:val="005975C0"/>
    <w:rsid w:val="005A7938"/>
    <w:rsid w:val="005B2E53"/>
    <w:rsid w:val="005B3F93"/>
    <w:rsid w:val="005B5E46"/>
    <w:rsid w:val="005B79FA"/>
    <w:rsid w:val="005C2E1A"/>
    <w:rsid w:val="005C5960"/>
    <w:rsid w:val="005D776A"/>
    <w:rsid w:val="005E3FFA"/>
    <w:rsid w:val="00601BBB"/>
    <w:rsid w:val="00615D8A"/>
    <w:rsid w:val="0061674C"/>
    <w:rsid w:val="00617B7D"/>
    <w:rsid w:val="00655F13"/>
    <w:rsid w:val="00657331"/>
    <w:rsid w:val="00657535"/>
    <w:rsid w:val="006779C9"/>
    <w:rsid w:val="006838B8"/>
    <w:rsid w:val="006861CD"/>
    <w:rsid w:val="006908FF"/>
    <w:rsid w:val="00691330"/>
    <w:rsid w:val="0069199E"/>
    <w:rsid w:val="006A055F"/>
    <w:rsid w:val="006A3DEB"/>
    <w:rsid w:val="006A6954"/>
    <w:rsid w:val="006C0CBE"/>
    <w:rsid w:val="006C2B06"/>
    <w:rsid w:val="006C5DB4"/>
    <w:rsid w:val="006D06EE"/>
    <w:rsid w:val="006E223F"/>
    <w:rsid w:val="006F71C5"/>
    <w:rsid w:val="00702230"/>
    <w:rsid w:val="00705B01"/>
    <w:rsid w:val="007116B7"/>
    <w:rsid w:val="00711932"/>
    <w:rsid w:val="00714655"/>
    <w:rsid w:val="00726F02"/>
    <w:rsid w:val="00732BF6"/>
    <w:rsid w:val="007368C3"/>
    <w:rsid w:val="00740E3F"/>
    <w:rsid w:val="00742041"/>
    <w:rsid w:val="00743BD4"/>
    <w:rsid w:val="007449BA"/>
    <w:rsid w:val="00744C0A"/>
    <w:rsid w:val="00751764"/>
    <w:rsid w:val="00761D2B"/>
    <w:rsid w:val="00762558"/>
    <w:rsid w:val="007705BF"/>
    <w:rsid w:val="007801E2"/>
    <w:rsid w:val="00783A9A"/>
    <w:rsid w:val="00784C09"/>
    <w:rsid w:val="007879D9"/>
    <w:rsid w:val="007928CF"/>
    <w:rsid w:val="00792AEA"/>
    <w:rsid w:val="007A1BC2"/>
    <w:rsid w:val="007A6D88"/>
    <w:rsid w:val="007C2DEB"/>
    <w:rsid w:val="007D4F5D"/>
    <w:rsid w:val="007E1B35"/>
    <w:rsid w:val="007E23C6"/>
    <w:rsid w:val="007E4016"/>
    <w:rsid w:val="007E58DC"/>
    <w:rsid w:val="0081707A"/>
    <w:rsid w:val="0082077F"/>
    <w:rsid w:val="00822E9B"/>
    <w:rsid w:val="00825096"/>
    <w:rsid w:val="008255BF"/>
    <w:rsid w:val="00830BB1"/>
    <w:rsid w:val="00831EF3"/>
    <w:rsid w:val="00833D26"/>
    <w:rsid w:val="00835EC9"/>
    <w:rsid w:val="00845806"/>
    <w:rsid w:val="00850A26"/>
    <w:rsid w:val="00860335"/>
    <w:rsid w:val="00866F71"/>
    <w:rsid w:val="00875A07"/>
    <w:rsid w:val="00875A88"/>
    <w:rsid w:val="00877149"/>
    <w:rsid w:val="008771A4"/>
    <w:rsid w:val="00877201"/>
    <w:rsid w:val="00884D91"/>
    <w:rsid w:val="0088713D"/>
    <w:rsid w:val="008A58A5"/>
    <w:rsid w:val="008A7D57"/>
    <w:rsid w:val="008D09E6"/>
    <w:rsid w:val="008D4357"/>
    <w:rsid w:val="008E0540"/>
    <w:rsid w:val="008E39E4"/>
    <w:rsid w:val="008E4532"/>
    <w:rsid w:val="008E79B0"/>
    <w:rsid w:val="008F0EC7"/>
    <w:rsid w:val="008F1D61"/>
    <w:rsid w:val="008F4758"/>
    <w:rsid w:val="008F4AE2"/>
    <w:rsid w:val="00900AE3"/>
    <w:rsid w:val="0090169D"/>
    <w:rsid w:val="0091362C"/>
    <w:rsid w:val="00916497"/>
    <w:rsid w:val="00920E4D"/>
    <w:rsid w:val="0092583B"/>
    <w:rsid w:val="00933327"/>
    <w:rsid w:val="009342D2"/>
    <w:rsid w:val="00947D9E"/>
    <w:rsid w:val="009557F5"/>
    <w:rsid w:val="009747C6"/>
    <w:rsid w:val="00974BA2"/>
    <w:rsid w:val="00976DD6"/>
    <w:rsid w:val="00982DBC"/>
    <w:rsid w:val="00992893"/>
    <w:rsid w:val="009A0FFF"/>
    <w:rsid w:val="009A3699"/>
    <w:rsid w:val="009A4AB2"/>
    <w:rsid w:val="009A7C1B"/>
    <w:rsid w:val="009B2DF3"/>
    <w:rsid w:val="009B5C2F"/>
    <w:rsid w:val="009C05E7"/>
    <w:rsid w:val="009C3752"/>
    <w:rsid w:val="009C6F56"/>
    <w:rsid w:val="009D2B9D"/>
    <w:rsid w:val="009D484E"/>
    <w:rsid w:val="009D5EB2"/>
    <w:rsid w:val="009E1469"/>
    <w:rsid w:val="009E652E"/>
    <w:rsid w:val="009F0D45"/>
    <w:rsid w:val="009F7220"/>
    <w:rsid w:val="00A0339A"/>
    <w:rsid w:val="00A2648A"/>
    <w:rsid w:val="00A32CC3"/>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5B34"/>
    <w:rsid w:val="00AE3220"/>
    <w:rsid w:val="00AE358A"/>
    <w:rsid w:val="00AE35A2"/>
    <w:rsid w:val="00AE38AC"/>
    <w:rsid w:val="00AE58CF"/>
    <w:rsid w:val="00B02A98"/>
    <w:rsid w:val="00B10009"/>
    <w:rsid w:val="00B12216"/>
    <w:rsid w:val="00B24109"/>
    <w:rsid w:val="00B30BBE"/>
    <w:rsid w:val="00B41C58"/>
    <w:rsid w:val="00B5144E"/>
    <w:rsid w:val="00B53BC2"/>
    <w:rsid w:val="00B56FC0"/>
    <w:rsid w:val="00B6207E"/>
    <w:rsid w:val="00B76281"/>
    <w:rsid w:val="00B93682"/>
    <w:rsid w:val="00B97752"/>
    <w:rsid w:val="00BA2E82"/>
    <w:rsid w:val="00BA37B6"/>
    <w:rsid w:val="00BB0BCE"/>
    <w:rsid w:val="00BB2E0C"/>
    <w:rsid w:val="00BB6642"/>
    <w:rsid w:val="00BC20C8"/>
    <w:rsid w:val="00BC3BFC"/>
    <w:rsid w:val="00BF2A7B"/>
    <w:rsid w:val="00BF4E4B"/>
    <w:rsid w:val="00C00FC6"/>
    <w:rsid w:val="00C114CB"/>
    <w:rsid w:val="00C2119F"/>
    <w:rsid w:val="00C235D8"/>
    <w:rsid w:val="00C24936"/>
    <w:rsid w:val="00C25950"/>
    <w:rsid w:val="00C2725F"/>
    <w:rsid w:val="00C34F46"/>
    <w:rsid w:val="00C42C9F"/>
    <w:rsid w:val="00C5376D"/>
    <w:rsid w:val="00C56095"/>
    <w:rsid w:val="00C57F7E"/>
    <w:rsid w:val="00C6317A"/>
    <w:rsid w:val="00C847CB"/>
    <w:rsid w:val="00C87711"/>
    <w:rsid w:val="00C90797"/>
    <w:rsid w:val="00CA0DFF"/>
    <w:rsid w:val="00CA1A4A"/>
    <w:rsid w:val="00CA78CC"/>
    <w:rsid w:val="00CB0417"/>
    <w:rsid w:val="00CC28BB"/>
    <w:rsid w:val="00CE6163"/>
    <w:rsid w:val="00CF6F80"/>
    <w:rsid w:val="00D15B9A"/>
    <w:rsid w:val="00D21462"/>
    <w:rsid w:val="00D309B7"/>
    <w:rsid w:val="00D30FF2"/>
    <w:rsid w:val="00D31406"/>
    <w:rsid w:val="00D55CE5"/>
    <w:rsid w:val="00D562BB"/>
    <w:rsid w:val="00D62AB7"/>
    <w:rsid w:val="00D64DE9"/>
    <w:rsid w:val="00D670CF"/>
    <w:rsid w:val="00D84D59"/>
    <w:rsid w:val="00D8654F"/>
    <w:rsid w:val="00D90DFD"/>
    <w:rsid w:val="00D95CF2"/>
    <w:rsid w:val="00DA468A"/>
    <w:rsid w:val="00DA77A6"/>
    <w:rsid w:val="00DB378A"/>
    <w:rsid w:val="00DB7FFE"/>
    <w:rsid w:val="00DC2F03"/>
    <w:rsid w:val="00DC4CEE"/>
    <w:rsid w:val="00DD5C89"/>
    <w:rsid w:val="00DE5FA4"/>
    <w:rsid w:val="00DE657F"/>
    <w:rsid w:val="00DE6CEA"/>
    <w:rsid w:val="00DF1749"/>
    <w:rsid w:val="00E06638"/>
    <w:rsid w:val="00E221DC"/>
    <w:rsid w:val="00E2550B"/>
    <w:rsid w:val="00E358D8"/>
    <w:rsid w:val="00E53816"/>
    <w:rsid w:val="00E72D84"/>
    <w:rsid w:val="00E74414"/>
    <w:rsid w:val="00E756A8"/>
    <w:rsid w:val="00EA7A2C"/>
    <w:rsid w:val="00EB4745"/>
    <w:rsid w:val="00EC11F6"/>
    <w:rsid w:val="00EC6E21"/>
    <w:rsid w:val="00ED4A59"/>
    <w:rsid w:val="00ED52ED"/>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E21"/>
    <w:rsid w:val="00F617CF"/>
    <w:rsid w:val="00F67AC3"/>
    <w:rsid w:val="00FB059D"/>
    <w:rsid w:val="00FB6584"/>
    <w:rsid w:val="00FC04CF"/>
    <w:rsid w:val="00FC39FC"/>
    <w:rsid w:val="00FD23D5"/>
    <w:rsid w:val="00FE0531"/>
    <w:rsid w:val="00FE218D"/>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6047223">
      <w:bodyDiv w:val="1"/>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748162424">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992104069">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01757780">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25631141">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732653104">
      <w:bodyDiv w:val="1"/>
      <w:marLeft w:val="0"/>
      <w:marRight w:val="0"/>
      <w:marTop w:val="0"/>
      <w:marBottom w:val="0"/>
      <w:divBdr>
        <w:top w:val="none" w:sz="0" w:space="0" w:color="auto"/>
        <w:left w:val="none" w:sz="0" w:space="0" w:color="auto"/>
        <w:bottom w:val="none" w:sz="0" w:space="0" w:color="auto"/>
        <w:right w:val="none" w:sz="0" w:space="0" w:color="auto"/>
      </w:divBdr>
    </w:div>
    <w:div w:id="1762407014">
      <w:bodyDiv w:val="1"/>
      <w:marLeft w:val="0"/>
      <w:marRight w:val="0"/>
      <w:marTop w:val="0"/>
      <w:marBottom w:val="0"/>
      <w:divBdr>
        <w:top w:val="none" w:sz="0" w:space="0" w:color="auto"/>
        <w:left w:val="none" w:sz="0" w:space="0" w:color="auto"/>
        <w:bottom w:val="none" w:sz="0" w:space="0" w:color="auto"/>
        <w:right w:val="none" w:sz="0" w:space="0" w:color="auto"/>
      </w:divBdr>
    </w:div>
    <w:div w:id="1770587823">
      <w:bodyDiv w:val="1"/>
      <w:marLeft w:val="0"/>
      <w:marRight w:val="0"/>
      <w:marTop w:val="0"/>
      <w:marBottom w:val="0"/>
      <w:divBdr>
        <w:top w:val="none" w:sz="0" w:space="0" w:color="auto"/>
        <w:left w:val="none" w:sz="0" w:space="0" w:color="auto"/>
        <w:bottom w:val="none" w:sz="0" w:space="0" w:color="auto"/>
        <w:right w:val="none" w:sz="0" w:space="0" w:color="auto"/>
      </w:divBdr>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D748-67ED-47E9-92F6-E490CD88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16</cp:revision>
  <cp:lastPrinted>2019-10-22T09:29:00Z</cp:lastPrinted>
  <dcterms:created xsi:type="dcterms:W3CDTF">2020-08-04T07:10:00Z</dcterms:created>
  <dcterms:modified xsi:type="dcterms:W3CDTF">2020-08-04T07:28:00Z</dcterms:modified>
</cp:coreProperties>
</file>