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D33F64"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6377FD" w:rsidRPr="006377FD" w:rsidRDefault="006377FD" w:rsidP="006377FD">
                    <w:pPr>
                      <w:spacing w:line="240" w:lineRule="auto"/>
                      <w:jc w:val="center"/>
                      <w:rPr>
                        <w:rFonts w:ascii="Times New Roman" w:hAnsi="Times New Roman"/>
                        <w:b/>
                        <w:sz w:val="40"/>
                        <w:szCs w:val="40"/>
                      </w:rPr>
                    </w:pPr>
                    <w:r w:rsidRPr="006377FD">
                      <w:rPr>
                        <w:rFonts w:ascii="Times New Roman" w:hAnsi="Times New Roman"/>
                        <w:b/>
                        <w:sz w:val="40"/>
                        <w:szCs w:val="40"/>
                      </w:rPr>
                      <w:t xml:space="preserve">Яка передбачена відповідальність за </w:t>
                    </w:r>
                    <w:proofErr w:type="spellStart"/>
                    <w:r w:rsidRPr="006377FD">
                      <w:rPr>
                        <w:rFonts w:ascii="Times New Roman" w:hAnsi="Times New Roman"/>
                        <w:b/>
                        <w:sz w:val="40"/>
                        <w:szCs w:val="40"/>
                      </w:rPr>
                      <w:t>нестворення</w:t>
                    </w:r>
                    <w:proofErr w:type="spellEnd"/>
                    <w:r w:rsidRPr="006377FD">
                      <w:rPr>
                        <w:rFonts w:ascii="Times New Roman" w:hAnsi="Times New Roman"/>
                        <w:b/>
                        <w:sz w:val="40"/>
                        <w:szCs w:val="40"/>
                      </w:rPr>
                      <w:t xml:space="preserve"> (несвоєчасне створення) або </w:t>
                    </w:r>
                    <w:proofErr w:type="spellStart"/>
                    <w:r w:rsidRPr="006377FD">
                      <w:rPr>
                        <w:rFonts w:ascii="Times New Roman" w:hAnsi="Times New Roman"/>
                        <w:b/>
                        <w:sz w:val="40"/>
                        <w:szCs w:val="40"/>
                      </w:rPr>
                      <w:t>незберігання</w:t>
                    </w:r>
                    <w:proofErr w:type="spellEnd"/>
                    <w:r w:rsidRPr="006377FD">
                      <w:rPr>
                        <w:rFonts w:ascii="Times New Roman" w:hAnsi="Times New Roman"/>
                        <w:b/>
                        <w:sz w:val="40"/>
                        <w:szCs w:val="40"/>
                      </w:rPr>
                      <w:t xml:space="preserve"> фіскальних звітних </w:t>
                    </w:r>
                    <w:proofErr w:type="spellStart"/>
                    <w:r w:rsidRPr="006377FD">
                      <w:rPr>
                        <w:rFonts w:ascii="Times New Roman" w:hAnsi="Times New Roman"/>
                        <w:b/>
                        <w:sz w:val="40"/>
                        <w:szCs w:val="40"/>
                      </w:rPr>
                      <w:t>чеків</w:t>
                    </w:r>
                    <w:proofErr w:type="spellEnd"/>
                    <w:r w:rsidRPr="006377FD">
                      <w:rPr>
                        <w:rFonts w:ascii="Times New Roman" w:hAnsi="Times New Roman"/>
                        <w:b/>
                        <w:sz w:val="40"/>
                        <w:szCs w:val="40"/>
                      </w:rPr>
                      <w:t xml:space="preserve"> (щоденних Z-звітів), створених РРО або ПРРО в електронній формі?</w:t>
                    </w:r>
                  </w:p>
                  <w:p w:rsidR="002D5D6F" w:rsidRPr="009A1FA9" w:rsidRDefault="002D5D6F" w:rsidP="009A1FA9">
                    <w:pPr>
                      <w:pStyle w:val="1"/>
                      <w:spacing w:before="0" w:beforeAutospacing="0" w:after="0" w:afterAutospacing="0"/>
                      <w:jc w:val="center"/>
                      <w:rPr>
                        <w:color w:val="17365D"/>
                        <w:sz w:val="60"/>
                        <w:szCs w:val="60"/>
                      </w:rPr>
                    </w:pP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79440E" w:rsidP="00CC28BB">
                  <w:pPr>
                    <w:rPr>
                      <w:i/>
                      <w:sz w:val="16"/>
                    </w:rPr>
                  </w:pPr>
                  <w:r>
                    <w:rPr>
                      <w:i/>
                      <w:sz w:val="16"/>
                    </w:rPr>
                    <w:t xml:space="preserve">вересень </w:t>
                  </w:r>
                  <w:r w:rsidR="00B00BA6">
                    <w:rPr>
                      <w:i/>
                      <w:sz w:val="16"/>
                    </w:rPr>
                    <w:t>2020</w:t>
                  </w:r>
                  <w:r w:rsidR="005506B3">
                    <w:rPr>
                      <w:i/>
                      <w:sz w:val="16"/>
                    </w:rPr>
                    <w:t xml:space="preserve"> року</w:t>
                  </w:r>
                </w:p>
                <w:p w:rsidR="001428D3" w:rsidRPr="00CC28BB" w:rsidRDefault="001428D3" w:rsidP="00CC28BB"/>
              </w:txbxContent>
            </v:textbox>
          </v:shape>
        </w:pict>
      </w:r>
    </w:p>
    <w:p w:rsidR="001428D3" w:rsidRDefault="00D33F64">
      <w:r>
        <w:rPr>
          <w:noProof/>
          <w:lang w:eastAsia="uk-UA"/>
        </w:rPr>
        <w:pict>
          <v:shape id="_x0000_s1317" type="#_x0000_t202" style="position:absolute;margin-left:-9.4pt;margin-top:2.1pt;width:377.45pt;height:425.2pt;z-index:29" strokecolor="white">
            <v:textbox>
              <w:txbxContent>
                <w:p w:rsidR="009B30C2" w:rsidRDefault="009B30C2" w:rsidP="009B30C2">
                  <w:pPr>
                    <w:spacing w:line="240" w:lineRule="auto"/>
                    <w:jc w:val="both"/>
                    <w:rPr>
                      <w:rFonts w:ascii="Times New Roman" w:hAnsi="Times New Roman"/>
                      <w:sz w:val="28"/>
                      <w:szCs w:val="28"/>
                    </w:rPr>
                  </w:pPr>
                  <w:r w:rsidRPr="00863E8F">
                    <w:rPr>
                      <w:rFonts w:ascii="Times New Roman" w:hAnsi="Times New Roman"/>
                      <w:sz w:val="28"/>
                      <w:szCs w:val="28"/>
                    </w:rPr>
                    <w:t>неоподатковуваних мінімумів доходів громадян.</w:t>
                  </w:r>
                </w:p>
                <w:p w:rsidR="004E11FF" w:rsidRPr="00866B86" w:rsidRDefault="00093881" w:rsidP="004E11FF">
                  <w:pPr>
                    <w:spacing w:line="240" w:lineRule="auto"/>
                    <w:ind w:firstLine="708"/>
                    <w:jc w:val="both"/>
                    <w:rPr>
                      <w:rFonts w:ascii="Times New Roman" w:hAnsi="Times New Roman"/>
                      <w:sz w:val="28"/>
                      <w:szCs w:val="28"/>
                    </w:rPr>
                  </w:pPr>
                  <w:r>
                    <w:rPr>
                      <w:rFonts w:ascii="Times New Roman" w:hAnsi="Times New Roman"/>
                      <w:sz w:val="28"/>
                      <w:szCs w:val="28"/>
                    </w:rPr>
                    <w:t>Також інформуємо, що д</w:t>
                  </w:r>
                  <w:r w:rsidR="004E11FF" w:rsidRPr="00866B86">
                    <w:rPr>
                      <w:rFonts w:ascii="Times New Roman" w:hAnsi="Times New Roman"/>
                      <w:sz w:val="28"/>
                      <w:szCs w:val="28"/>
                    </w:rPr>
                    <w:t>ії, передбачені частиною першою ст. 155 прим. 1 КУпАП, вчинені особою, яку протягом року було піддано адміністративному стягненню за такі ж порушення, тягнуть за собою накладення штрафу:</w:t>
                  </w:r>
                </w:p>
                <w:p w:rsidR="004E11FF" w:rsidRPr="00866B86" w:rsidRDefault="004E11FF" w:rsidP="00E51242">
                  <w:pPr>
                    <w:numPr>
                      <w:ilvl w:val="0"/>
                      <w:numId w:val="27"/>
                    </w:numPr>
                    <w:spacing w:line="240" w:lineRule="auto"/>
                    <w:jc w:val="both"/>
                    <w:rPr>
                      <w:rFonts w:ascii="Times New Roman" w:hAnsi="Times New Roman"/>
                      <w:sz w:val="28"/>
                      <w:szCs w:val="28"/>
                    </w:rPr>
                  </w:pPr>
                  <w:r w:rsidRPr="00866B86">
                    <w:rPr>
                      <w:rFonts w:ascii="Times New Roman" w:hAnsi="Times New Roman"/>
                      <w:sz w:val="28"/>
                      <w:szCs w:val="28"/>
                    </w:rPr>
                    <w:t>на осіб, які здійснюють розрахункові операції, від п’яти до десяти неоподатковуваних мінімумів доходів громадян;</w:t>
                  </w:r>
                </w:p>
                <w:p w:rsidR="004E11FF" w:rsidRPr="00866B86" w:rsidRDefault="004E11FF" w:rsidP="00E51242">
                  <w:pPr>
                    <w:numPr>
                      <w:ilvl w:val="0"/>
                      <w:numId w:val="27"/>
                    </w:numPr>
                    <w:spacing w:line="240" w:lineRule="auto"/>
                    <w:jc w:val="both"/>
                    <w:rPr>
                      <w:rFonts w:ascii="Times New Roman" w:hAnsi="Times New Roman"/>
                      <w:sz w:val="28"/>
                      <w:szCs w:val="28"/>
                    </w:rPr>
                  </w:pPr>
                  <w:r w:rsidRPr="00866B86">
                    <w:rPr>
                      <w:rFonts w:ascii="Times New Roman" w:hAnsi="Times New Roman"/>
                      <w:sz w:val="28"/>
                      <w:szCs w:val="28"/>
                    </w:rPr>
                    <w:t>на посадових осіб від десяти до двадцяти неоподатковуваних мінімумів доходів громадян.</w:t>
                  </w:r>
                </w:p>
                <w:p w:rsidR="001D564F" w:rsidRDefault="001D564F" w:rsidP="001D564F">
                  <w:pPr>
                    <w:spacing w:line="240" w:lineRule="auto"/>
                    <w:ind w:firstLine="708"/>
                    <w:jc w:val="both"/>
                  </w:pP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D33F64">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7D2224" w:rsidRPr="00FE0531" w:rsidRDefault="007D2224" w:rsidP="007D2224">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r w:rsidR="009825E3" w:rsidRPr="009825E3">
                    <w:rPr>
                      <w:rStyle w:val="a8"/>
                      <w:spacing w:val="-4"/>
                      <w:sz w:val="18"/>
                      <w:szCs w:val="18"/>
                      <w:lang w:val="ru-RU"/>
                    </w:rPr>
                    <w:t xml:space="preserve"> </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7D2224" w:rsidRPr="00FE0531" w:rsidRDefault="007D2224" w:rsidP="007D2224">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7D2224" w:rsidRPr="00FE0531" w:rsidRDefault="007D2224" w:rsidP="007D2224">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D33F64">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D33F64">
      <w:r>
        <w:rPr>
          <w:noProof/>
          <w:lang w:eastAsia="uk-UA"/>
        </w:rPr>
        <w:pict>
          <v:oval id="_x0000_s1296" style="position:absolute;margin-left:159.65pt;margin-top:34.1pt;width:23.25pt;height:23.45pt;z-index:16" fillcolor="#8db3e2">
            <v:textbox style="mso-next-textbox:#_x0000_s1296">
              <w:txbxContent>
                <w:p w:rsidR="004A3DA8" w:rsidRPr="00F67AC3" w:rsidRDefault="00F67AC3" w:rsidP="004A3DA8">
                  <w:pPr>
                    <w:rPr>
                      <w:u w:val="single"/>
                    </w:rPr>
                  </w:pPr>
                  <w:r>
                    <w:rPr>
                      <w:u w:val="single"/>
                    </w:rPr>
                    <w:t>6</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D33F64">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D33F64">
      <w:r>
        <w:rPr>
          <w:noProof/>
          <w:lang w:eastAsia="uk-UA"/>
        </w:rPr>
        <w:pict>
          <v:shape id="_x0000_s1310" type="#_x0000_t202" style="position:absolute;margin-left:408.7pt;margin-top:3.75pt;width:372.7pt;height:489.6pt;z-index:26" strokecolor="white">
            <v:textbox>
              <w:txbxContent>
                <w:p w:rsidR="008A61D0" w:rsidRPr="00722BDA" w:rsidRDefault="00A8422C" w:rsidP="008A61D0">
                  <w:pPr>
                    <w:spacing w:line="240" w:lineRule="auto"/>
                    <w:jc w:val="both"/>
                    <w:rPr>
                      <w:rFonts w:ascii="Times New Roman" w:hAnsi="Times New Roman"/>
                      <w:sz w:val="28"/>
                      <w:szCs w:val="28"/>
                    </w:rPr>
                  </w:pPr>
                  <w:r w:rsidRPr="00722BDA">
                    <w:rPr>
                      <w:rFonts w:ascii="Times New Roman" w:hAnsi="Times New Roman"/>
                      <w:sz w:val="28"/>
                      <w:szCs w:val="28"/>
                    </w:rPr>
                    <w:t>Міністерства фінансів України від 14.06.2016 № 547 із</w:t>
                  </w:r>
                  <w:r w:rsidR="0056396B" w:rsidRPr="00722BDA">
                    <w:rPr>
                      <w:rFonts w:ascii="Times New Roman" w:hAnsi="Times New Roman"/>
                      <w:sz w:val="28"/>
                      <w:szCs w:val="28"/>
                    </w:rPr>
                    <w:t xml:space="preserve"> </w:t>
                  </w:r>
                  <w:r w:rsidR="008A61D0" w:rsidRPr="00722BDA">
                    <w:rPr>
                      <w:rFonts w:ascii="Times New Roman" w:hAnsi="Times New Roman"/>
                      <w:sz w:val="28"/>
                      <w:szCs w:val="28"/>
                    </w:rPr>
                    <w:t xml:space="preserve">змінами та доповненнями (далі – Порядок № 547), суб’єкт господарювання має забезпечити збереження щоденних фіскальних звітних </w:t>
                  </w:r>
                  <w:proofErr w:type="spellStart"/>
                  <w:r w:rsidR="008A61D0" w:rsidRPr="00722BDA">
                    <w:rPr>
                      <w:rFonts w:ascii="Times New Roman" w:hAnsi="Times New Roman"/>
                      <w:sz w:val="28"/>
                      <w:szCs w:val="28"/>
                    </w:rPr>
                    <w:t>чеків</w:t>
                  </w:r>
                  <w:proofErr w:type="spellEnd"/>
                  <w:r w:rsidR="008A61D0" w:rsidRPr="00722BDA">
                    <w:rPr>
                      <w:rFonts w:ascii="Times New Roman" w:hAnsi="Times New Roman"/>
                      <w:sz w:val="28"/>
                      <w:szCs w:val="28"/>
                    </w:rPr>
                    <w:t xml:space="preserve"> (щоденних Z-звітів) в паперовій та/або електронній формі протягом строку, визначеного п. 44.3 ст. 44 Податкового кодексу України від 02 грудня 2010 року № 2755-VI із змінами та доповненнями (далі – ПКУ).</w:t>
                  </w:r>
                </w:p>
                <w:p w:rsidR="008A61D0" w:rsidRPr="00722BDA" w:rsidRDefault="008A61D0" w:rsidP="008A61D0">
                  <w:pPr>
                    <w:spacing w:line="240" w:lineRule="auto"/>
                    <w:ind w:firstLine="708"/>
                    <w:jc w:val="both"/>
                    <w:rPr>
                      <w:rFonts w:ascii="Times New Roman" w:hAnsi="Times New Roman"/>
                      <w:sz w:val="28"/>
                      <w:szCs w:val="28"/>
                    </w:rPr>
                  </w:pPr>
                  <w:r w:rsidRPr="00722BDA">
                    <w:rPr>
                      <w:rFonts w:ascii="Times New Roman" w:hAnsi="Times New Roman"/>
                      <w:sz w:val="28"/>
                      <w:szCs w:val="28"/>
                    </w:rPr>
                    <w:t xml:space="preserve">Збереження суб’єктом господарювання щоденних фіскальних звітних </w:t>
                  </w:r>
                  <w:proofErr w:type="spellStart"/>
                  <w:r w:rsidRPr="00722BDA">
                    <w:rPr>
                      <w:rFonts w:ascii="Times New Roman" w:hAnsi="Times New Roman"/>
                      <w:sz w:val="28"/>
                      <w:szCs w:val="28"/>
                    </w:rPr>
                    <w:t>чеків</w:t>
                  </w:r>
                  <w:proofErr w:type="spellEnd"/>
                  <w:r w:rsidRPr="00722BDA">
                    <w:rPr>
                      <w:rFonts w:ascii="Times New Roman" w:hAnsi="Times New Roman"/>
                      <w:sz w:val="28"/>
                      <w:szCs w:val="28"/>
                    </w:rPr>
                    <w:t xml:space="preserve"> (щоденних Z-звітів) в паперовій та/або електронній формі здійснюється у будь-який зручний та не заборонений чинним законодавством спосіб.</w:t>
                  </w:r>
                </w:p>
                <w:p w:rsidR="008A61D0" w:rsidRPr="00722BDA" w:rsidRDefault="008A61D0" w:rsidP="008A61D0">
                  <w:pPr>
                    <w:spacing w:line="240" w:lineRule="auto"/>
                    <w:ind w:firstLine="708"/>
                    <w:jc w:val="both"/>
                    <w:rPr>
                      <w:rFonts w:ascii="Times New Roman" w:hAnsi="Times New Roman"/>
                      <w:sz w:val="28"/>
                      <w:szCs w:val="28"/>
                    </w:rPr>
                  </w:pPr>
                  <w:r w:rsidRPr="00722BDA">
                    <w:rPr>
                      <w:rFonts w:ascii="Times New Roman" w:hAnsi="Times New Roman"/>
                      <w:sz w:val="28"/>
                      <w:szCs w:val="28"/>
                    </w:rPr>
                    <w:t xml:space="preserve">При цьому спосіб збереження суб’єктом господарювання щоденних фіскальних звітних </w:t>
                  </w:r>
                  <w:proofErr w:type="spellStart"/>
                  <w:r w:rsidRPr="00722BDA">
                    <w:rPr>
                      <w:rFonts w:ascii="Times New Roman" w:hAnsi="Times New Roman"/>
                      <w:sz w:val="28"/>
                      <w:szCs w:val="28"/>
                    </w:rPr>
                    <w:t>чеків</w:t>
                  </w:r>
                  <w:proofErr w:type="spellEnd"/>
                  <w:r w:rsidRPr="00722BDA">
                    <w:rPr>
                      <w:rFonts w:ascii="Times New Roman" w:hAnsi="Times New Roman"/>
                      <w:sz w:val="28"/>
                      <w:szCs w:val="28"/>
                    </w:rPr>
                    <w:t xml:space="preserve"> (щоденних Z-звітів) в паперовій та/або електронній формі має забезпечити (у тому числі під час проведення перевірки) можливість візуально</w:t>
                  </w:r>
                  <w:bookmarkStart w:id="0" w:name="_GoBack"/>
                  <w:bookmarkEnd w:id="0"/>
                  <w:r w:rsidRPr="00722BDA">
                    <w:rPr>
                      <w:rFonts w:ascii="Times New Roman" w:hAnsi="Times New Roman"/>
                      <w:sz w:val="28"/>
                      <w:szCs w:val="28"/>
                    </w:rPr>
                    <w:t>го перегляду такого Z-звіту для підтвердження факту оприбуткування готівки та повноти обліку здійснених розрахункових операцій.</w:t>
                  </w:r>
                </w:p>
                <w:p w:rsidR="008A61D0" w:rsidRPr="00722BDA" w:rsidRDefault="008A61D0" w:rsidP="008A61D0">
                  <w:pPr>
                    <w:spacing w:line="240" w:lineRule="auto"/>
                    <w:ind w:firstLine="708"/>
                    <w:jc w:val="both"/>
                    <w:rPr>
                      <w:rFonts w:ascii="Times New Roman" w:hAnsi="Times New Roman"/>
                      <w:sz w:val="28"/>
                      <w:szCs w:val="28"/>
                    </w:rPr>
                  </w:pPr>
                  <w:r w:rsidRPr="00722BDA">
                    <w:rPr>
                      <w:rFonts w:ascii="Times New Roman" w:hAnsi="Times New Roman"/>
                      <w:sz w:val="28"/>
                      <w:szCs w:val="28"/>
                    </w:rPr>
                    <w:t>Дані наданих для перегляду Z-звітів в паперовій та/або електронній формі мають співпадати з даними електронних копій таких Z-звітів, що містяться у фіскальній пам’яті РРО та/або на фіскальному сервері контролюючого органу.</w:t>
                  </w:r>
                </w:p>
                <w:p w:rsidR="00584C55" w:rsidRPr="00722BDA" w:rsidRDefault="008A61D0" w:rsidP="00F55EFE">
                  <w:pPr>
                    <w:spacing w:after="0" w:line="240" w:lineRule="auto"/>
                    <w:ind w:firstLine="709"/>
                    <w:jc w:val="both"/>
                    <w:rPr>
                      <w:sz w:val="28"/>
                      <w:szCs w:val="28"/>
                    </w:rPr>
                  </w:pPr>
                  <w:r w:rsidRPr="00722BDA">
                    <w:rPr>
                      <w:rFonts w:ascii="Times New Roman" w:hAnsi="Times New Roman"/>
                      <w:sz w:val="28"/>
                      <w:szCs w:val="28"/>
                    </w:rPr>
                    <w:t xml:space="preserve">Установа/підприємство, відповідно до вимог Положення про ведення касових операцій у національній валюті в Україні, затвердженого постановою Правління </w:t>
                  </w:r>
                </w:p>
              </w:txbxContent>
            </v:textbox>
          </v:shape>
        </w:pict>
      </w:r>
      <w:r>
        <w:rPr>
          <w:noProof/>
          <w:lang w:eastAsia="uk-UA"/>
        </w:rPr>
        <w:pict>
          <v:shape id="_x0000_s1309" type="#_x0000_t202" style="position:absolute;margin-left:-8.05pt;margin-top:3.75pt;width:374.4pt;height:481.15pt;z-index:25" strokecolor="white">
            <v:textbox>
              <w:txbxContent>
                <w:p w:rsidR="008A61D0" w:rsidRPr="0056396B" w:rsidRDefault="0052052C" w:rsidP="008A61D0">
                  <w:pPr>
                    <w:spacing w:line="240" w:lineRule="auto"/>
                    <w:ind w:firstLine="708"/>
                    <w:jc w:val="both"/>
                    <w:rPr>
                      <w:rFonts w:ascii="Times New Roman" w:hAnsi="Times New Roman"/>
                      <w:sz w:val="28"/>
                      <w:szCs w:val="28"/>
                    </w:rPr>
                  </w:pPr>
                  <w:r w:rsidRPr="0056396B">
                    <w:rPr>
                      <w:rFonts w:ascii="Times New Roman" w:hAnsi="Times New Roman"/>
                      <w:sz w:val="28"/>
                      <w:szCs w:val="28"/>
                    </w:rPr>
                    <w:t xml:space="preserve">У Головному управлінні ДПС у Волинській області наголошують, </w:t>
                  </w:r>
                  <w:r w:rsidR="00896B4F" w:rsidRPr="0056396B">
                    <w:rPr>
                      <w:rFonts w:ascii="Times New Roman" w:hAnsi="Times New Roman"/>
                      <w:sz w:val="28"/>
                      <w:szCs w:val="28"/>
                    </w:rPr>
                    <w:t>що з</w:t>
                  </w:r>
                  <w:r w:rsidR="008A61D0" w:rsidRPr="0056396B">
                    <w:rPr>
                      <w:rFonts w:ascii="Times New Roman" w:hAnsi="Times New Roman"/>
                      <w:sz w:val="28"/>
                      <w:szCs w:val="28"/>
                    </w:rPr>
                    <w:t>гідно з ст. 2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фіскальний звітний чек (далі – щоденний Z-звіт) – документ встановленої форми, створений у паперовій та/або електронній формі (електронний фіскальний звітний чек) реєстратором розрахункових операцій (далі – РРО) або програмним РРО (далі – ПРРО), що містить дані денного звіту, під час створення якого інформація про обсяг виконаних розрахункових операцій заноситься відповідно до фіскальної пам’яті РРО або фіскального сервера контролюючого органу.</w:t>
                  </w:r>
                </w:p>
                <w:p w:rsidR="008A61D0" w:rsidRPr="0056396B" w:rsidRDefault="008A61D0" w:rsidP="008A61D0">
                  <w:pPr>
                    <w:spacing w:line="240" w:lineRule="auto"/>
                    <w:ind w:firstLine="708"/>
                    <w:jc w:val="both"/>
                    <w:rPr>
                      <w:rFonts w:ascii="Times New Roman" w:hAnsi="Times New Roman"/>
                      <w:sz w:val="28"/>
                      <w:szCs w:val="28"/>
                    </w:rPr>
                  </w:pPr>
                  <w:r w:rsidRPr="0056396B">
                    <w:rPr>
                      <w:rFonts w:ascii="Times New Roman" w:hAnsi="Times New Roman"/>
                      <w:sz w:val="28"/>
                      <w:szCs w:val="28"/>
                    </w:rPr>
                    <w:t xml:space="preserve">Пунктом 9 ст. 3 Закону № 265 встановлено,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w:t>
                  </w:r>
                  <w:proofErr w:type="spellStart"/>
                  <w:r w:rsidRPr="0056396B">
                    <w:rPr>
                      <w:rFonts w:ascii="Times New Roman" w:hAnsi="Times New Roman"/>
                      <w:sz w:val="28"/>
                      <w:szCs w:val="28"/>
                    </w:rPr>
                    <w:t>чеків</w:t>
                  </w:r>
                  <w:proofErr w:type="spellEnd"/>
                  <w:r w:rsidRPr="0056396B">
                    <w:rPr>
                      <w:rFonts w:ascii="Times New Roman" w:hAnsi="Times New Roman"/>
                      <w:sz w:val="28"/>
                      <w:szCs w:val="28"/>
                    </w:rPr>
                    <w:t>, жетонів тощо) при продажу товарів (наданні послуг) у сфері торгівлі, громадського харчування та послуг зобов’язані щоденно створювати у паперовій та/або електронній формі РРО (за виключенням автоматів з продажу товарів (послуг)) або ПРРО фіскальні звітні чеки у разі здійснення розрахункових операцій.</w:t>
                  </w:r>
                </w:p>
                <w:p w:rsidR="001D67FC" w:rsidRPr="0056396B" w:rsidRDefault="008A61D0" w:rsidP="008A61D0">
                  <w:pPr>
                    <w:spacing w:line="240" w:lineRule="auto"/>
                    <w:ind w:firstLine="708"/>
                    <w:jc w:val="both"/>
                    <w:rPr>
                      <w:sz w:val="28"/>
                      <w:szCs w:val="28"/>
                    </w:rPr>
                  </w:pPr>
                  <w:r w:rsidRPr="0056396B">
                    <w:rPr>
                      <w:rFonts w:ascii="Times New Roman" w:hAnsi="Times New Roman"/>
                      <w:sz w:val="28"/>
                      <w:szCs w:val="28"/>
                    </w:rPr>
                    <w:t>Відповідно до п. 6 глави 4 розд</w:t>
                  </w:r>
                  <w:r w:rsidR="00444DD5">
                    <w:rPr>
                      <w:rFonts w:ascii="Times New Roman" w:hAnsi="Times New Roman"/>
                      <w:sz w:val="28"/>
                      <w:szCs w:val="28"/>
                    </w:rPr>
                    <w:t>ілу</w:t>
                  </w:r>
                  <w:r w:rsidRPr="0056396B">
                    <w:rPr>
                      <w:rFonts w:ascii="Times New Roman" w:hAnsi="Times New Roman"/>
                      <w:sz w:val="28"/>
                      <w:szCs w:val="28"/>
                    </w:rPr>
                    <w:t xml:space="preserve"> II Порядку реєстрації та</w:t>
                  </w:r>
                  <w:r w:rsidR="00896B4F" w:rsidRPr="0056396B">
                    <w:rPr>
                      <w:rFonts w:ascii="Times New Roman" w:hAnsi="Times New Roman"/>
                      <w:sz w:val="28"/>
                      <w:szCs w:val="28"/>
                    </w:rPr>
                    <w:t xml:space="preserve"> </w:t>
                  </w:r>
                  <w:r w:rsidRPr="0056396B">
                    <w:rPr>
                      <w:rFonts w:ascii="Times New Roman" w:hAnsi="Times New Roman"/>
                      <w:sz w:val="28"/>
                      <w:szCs w:val="28"/>
                    </w:rPr>
                    <w:t>ведення розрахункових книжок, книг обліку розрахункових операцій, затвердженого наказом</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33F64">
      <w:r>
        <w:rPr>
          <w:noProof/>
          <w:lang w:eastAsia="uk-UA"/>
        </w:rPr>
        <w:pict>
          <v:oval id="_x0000_s1301" style="position:absolute;margin-left:165.35pt;margin-top:9.95pt;width:23.25pt;height:23.45pt;z-index:21"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2" fillcolor="#8db3e2">
            <v:textbox style="mso-next-textbox:#_x0000_s1302">
              <w:txbxContent>
                <w:p w:rsidR="001E2F29" w:rsidRPr="00520BC1" w:rsidRDefault="00520BC1" w:rsidP="001E2F29">
                  <w:pPr>
                    <w:rPr>
                      <w:u w:val="single"/>
                    </w:rPr>
                  </w:pPr>
                  <w:r>
                    <w:rPr>
                      <w:u w:val="single"/>
                    </w:rPr>
                    <w:t>3</w:t>
                  </w:r>
                </w:p>
              </w:txbxContent>
            </v:textbox>
          </v:oval>
        </w:pict>
      </w:r>
    </w:p>
    <w:p w:rsidR="00DC4CEE" w:rsidRDefault="00D33F64">
      <w:r>
        <w:rPr>
          <w:noProof/>
          <w:lang w:eastAsia="uk-UA"/>
        </w:rPr>
        <w:lastRenderedPageBreak/>
        <w:pict>
          <v:roundrect id="_x0000_s1298" style="position:absolute;margin-left:403.9pt;margin-top:-6.25pt;width:388.3pt;height:537.8pt;z-index:18;visibility:visible;v-text-anchor:middle" arcsize="989f" filled="f" strokecolor="navy" strokeweight="5pt">
            <v:stroke linestyle="thinThin" joinstyle="miter"/>
          </v:roundrect>
        </w:pict>
      </w:r>
      <w:r>
        <w:rPr>
          <w:noProof/>
          <w:lang w:eastAsia="uk-UA"/>
        </w:rPr>
        <w:pict>
          <v:roundrect id="_x0000_s1297" style="position:absolute;margin-left:-11.25pt;margin-top:-6.25pt;width:388.3pt;height:537.8pt;z-index:17;visibility:visible;v-text-anchor:middle" arcsize="989f" filled="f" strokecolor="navy" strokeweight="5pt">
            <v:stroke linestyle="thinThin" joinstyle="miter"/>
          </v:roundrect>
        </w:pict>
      </w:r>
      <w:r>
        <w:rPr>
          <w:noProof/>
          <w:lang w:eastAsia="uk-UA"/>
        </w:rPr>
        <w:pict>
          <v:shape id="_x0000_s1299" type="#_x0000_t75" style="position:absolute;margin-left:574.6pt;margin-top:-22.45pt;width:42.75pt;height:45.7pt;z-index:19;visibility:visible" wrapcoords="-267 0 -267 16821 267 18350 533 18542 9067 21409 9600 21409 11733 21409 12267 21409 20800 18542 21067 18350 21600 16821 21600 0 -267 0">
            <v:imagedata r:id="rId7" o:title=""/>
            <w10:wrap type="tight"/>
          </v:shape>
        </w:pict>
      </w:r>
      <w:r>
        <w:rPr>
          <w:noProof/>
          <w:lang w:eastAsia="uk-UA"/>
        </w:rPr>
        <w:pict>
          <v:shape id="_x0000_s1300" type="#_x0000_t75" style="position:absolute;margin-left:156.35pt;margin-top:-22.45pt;width:42.75pt;height:45.7pt;z-index:20;visibility:visible" wrapcoords="-267 0 -267 16821 267 18350 533 18542 9067 21409 9600 21409 11733 21409 12267 21409 20800 18542 21067 18350 21600 16821 21600 0 -267 0">
            <v:imagedata r:id="rId7" o:title=""/>
            <w10:wrap type="tight"/>
          </v:shape>
        </w:pict>
      </w:r>
    </w:p>
    <w:p w:rsidR="00DC4CEE" w:rsidRDefault="00D33F64">
      <w:r>
        <w:rPr>
          <w:noProof/>
          <w:lang w:eastAsia="uk-UA"/>
        </w:rPr>
        <w:pict>
          <v:shape id="_x0000_s1312" type="#_x0000_t202" style="position:absolute;margin-left:413.8pt;margin-top:5.45pt;width:368.45pt;height:482pt;z-index:28" strokecolor="white">
            <v:textbox>
              <w:txbxContent>
                <w:p w:rsidR="00154472" w:rsidRPr="00863E8F" w:rsidRDefault="00863E8F" w:rsidP="00154472">
                  <w:pPr>
                    <w:spacing w:line="240" w:lineRule="auto"/>
                    <w:jc w:val="both"/>
                    <w:rPr>
                      <w:rFonts w:ascii="Times New Roman" w:hAnsi="Times New Roman"/>
                      <w:sz w:val="28"/>
                      <w:szCs w:val="28"/>
                    </w:rPr>
                  </w:pPr>
                  <w:r w:rsidRPr="00863E8F">
                    <w:rPr>
                      <w:rFonts w:ascii="Times New Roman" w:hAnsi="Times New Roman"/>
                      <w:sz w:val="28"/>
                      <w:szCs w:val="28"/>
                    </w:rPr>
                    <w:t xml:space="preserve">конструкція фіскального блока повинна забезпечувати </w:t>
                  </w:r>
                  <w:r w:rsidR="00154472" w:rsidRPr="00863E8F">
                    <w:rPr>
                      <w:rFonts w:ascii="Times New Roman" w:hAnsi="Times New Roman"/>
                      <w:sz w:val="28"/>
                      <w:szCs w:val="28"/>
                    </w:rPr>
                    <w:t>неможливість зміни чи знищення фіскальної інформації у фіскальній та оперативній пам’яті під впливом механічних, електромагнітних та кліматичних чинників, у тому числі під час технічного обслуговування та ремонту РРО. Інформація повинна зберігатися у фіскальній пам’яті до закінчення терміну служби РРО за умови дотримання визначених виробником умов експлуатації.</w:t>
                  </w:r>
                </w:p>
                <w:p w:rsidR="009F1A2C" w:rsidRPr="00863E8F" w:rsidRDefault="009F1A2C" w:rsidP="009F1A2C">
                  <w:pPr>
                    <w:spacing w:line="240" w:lineRule="auto"/>
                    <w:ind w:firstLine="708"/>
                    <w:jc w:val="both"/>
                    <w:rPr>
                      <w:rFonts w:ascii="Times New Roman" w:hAnsi="Times New Roman"/>
                      <w:sz w:val="28"/>
                      <w:szCs w:val="28"/>
                    </w:rPr>
                  </w:pPr>
                  <w:r w:rsidRPr="00863E8F">
                    <w:rPr>
                      <w:rFonts w:ascii="Times New Roman" w:hAnsi="Times New Roman"/>
                      <w:sz w:val="28"/>
                      <w:szCs w:val="28"/>
                    </w:rPr>
                    <w:t>Тобто, у разі створення РРО та/або ПРРО щоденних Z-звітів в електронній формі, суб’єкт господарювання зобов’язаний забезпечити їх зберігання, зокрема, у фіскальній пам’яті РРО, протягом строку, визначеного п. 44.3 ст. 44 ПКУ (не менш як 1095 днів).</w:t>
                  </w:r>
                </w:p>
                <w:p w:rsidR="006E51A0" w:rsidRDefault="009F1A2C" w:rsidP="006E51A0">
                  <w:pPr>
                    <w:spacing w:line="240" w:lineRule="auto"/>
                    <w:ind w:firstLine="708"/>
                    <w:jc w:val="both"/>
                    <w:rPr>
                      <w:rFonts w:ascii="Times New Roman" w:hAnsi="Times New Roman"/>
                      <w:sz w:val="28"/>
                      <w:szCs w:val="28"/>
                    </w:rPr>
                  </w:pPr>
                  <w:r w:rsidRPr="00863E8F">
                    <w:rPr>
                      <w:rFonts w:ascii="Times New Roman" w:hAnsi="Times New Roman"/>
                      <w:sz w:val="28"/>
                      <w:szCs w:val="28"/>
                    </w:rPr>
                    <w:t xml:space="preserve">За порушення встановленого Законом № 265 порядку проведення розрахунків у сфері торгівлі, громадського харчування та послуг, зокрема, </w:t>
                  </w:r>
                  <w:proofErr w:type="spellStart"/>
                  <w:r w:rsidRPr="00863E8F">
                    <w:rPr>
                      <w:rFonts w:ascii="Times New Roman" w:hAnsi="Times New Roman"/>
                      <w:sz w:val="28"/>
                      <w:szCs w:val="28"/>
                    </w:rPr>
                    <w:t>нестворення</w:t>
                  </w:r>
                  <w:proofErr w:type="spellEnd"/>
                  <w:r w:rsidRPr="00863E8F">
                    <w:rPr>
                      <w:rFonts w:ascii="Times New Roman" w:hAnsi="Times New Roman"/>
                      <w:sz w:val="28"/>
                      <w:szCs w:val="28"/>
                    </w:rPr>
                    <w:t xml:space="preserve"> (несвоєчасне створення) або </w:t>
                  </w:r>
                  <w:proofErr w:type="spellStart"/>
                  <w:r w:rsidRPr="00863E8F">
                    <w:rPr>
                      <w:rFonts w:ascii="Times New Roman" w:hAnsi="Times New Roman"/>
                      <w:sz w:val="28"/>
                      <w:szCs w:val="28"/>
                    </w:rPr>
                    <w:t>незберігання</w:t>
                  </w:r>
                  <w:proofErr w:type="spellEnd"/>
                  <w:r w:rsidRPr="00863E8F">
                    <w:rPr>
                      <w:rFonts w:ascii="Times New Roman" w:hAnsi="Times New Roman"/>
                      <w:sz w:val="28"/>
                      <w:szCs w:val="28"/>
                    </w:rPr>
                    <w:t xml:space="preserve"> щоденних Z-звітів в електронній формі протягом встановленого строку, до платників податку застосовується штраф відповідно до ст. 155 прим. 1 Кодексу України про адміністративні правопорушення від 07 грудня 1984 року № 8073-Х із змінами та доповненнями (далі – КУпАП):</w:t>
                  </w:r>
                </w:p>
                <w:p w:rsidR="006C162B" w:rsidRPr="00866B86" w:rsidRDefault="006C162B" w:rsidP="006C162B">
                  <w:pPr>
                    <w:numPr>
                      <w:ilvl w:val="0"/>
                      <w:numId w:val="26"/>
                    </w:numPr>
                    <w:spacing w:line="240" w:lineRule="auto"/>
                    <w:jc w:val="both"/>
                    <w:rPr>
                      <w:rFonts w:ascii="Times New Roman" w:hAnsi="Times New Roman"/>
                      <w:sz w:val="28"/>
                      <w:szCs w:val="28"/>
                    </w:rPr>
                  </w:pPr>
                  <w:r w:rsidRPr="00866B86">
                    <w:rPr>
                      <w:rFonts w:ascii="Times New Roman" w:hAnsi="Times New Roman"/>
                      <w:sz w:val="28"/>
                      <w:szCs w:val="28"/>
                    </w:rPr>
                    <w:t>на осіб, які здійснюють розрахункові операції, від двох до п’яти неоподатковуваних мінімумів доходів громадян;</w:t>
                  </w:r>
                </w:p>
                <w:p w:rsidR="006C162B" w:rsidRPr="00866B86" w:rsidRDefault="006C162B" w:rsidP="006C162B">
                  <w:pPr>
                    <w:numPr>
                      <w:ilvl w:val="0"/>
                      <w:numId w:val="26"/>
                    </w:numPr>
                    <w:spacing w:line="240" w:lineRule="auto"/>
                    <w:jc w:val="both"/>
                    <w:rPr>
                      <w:rFonts w:ascii="Times New Roman" w:hAnsi="Times New Roman"/>
                      <w:sz w:val="28"/>
                      <w:szCs w:val="28"/>
                    </w:rPr>
                  </w:pPr>
                  <w:r w:rsidRPr="00866B86">
                    <w:rPr>
                      <w:rFonts w:ascii="Times New Roman" w:hAnsi="Times New Roman"/>
                      <w:sz w:val="28"/>
                      <w:szCs w:val="28"/>
                    </w:rPr>
                    <w:t xml:space="preserve">на посадових осіб від п’яти до десяти </w:t>
                  </w:r>
                  <w:r w:rsidRPr="006377FD">
                    <w:rPr>
                      <w:rFonts w:ascii="Times New Roman" w:hAnsi="Times New Roman"/>
                      <w:color w:val="FFFFFF"/>
                      <w:sz w:val="28"/>
                      <w:szCs w:val="28"/>
                    </w:rPr>
                    <w:t>неоподатковуваних</w:t>
                  </w:r>
                </w:p>
                <w:p w:rsidR="006C162B" w:rsidRPr="00866B86" w:rsidRDefault="006C162B" w:rsidP="006E51A0">
                  <w:pPr>
                    <w:spacing w:line="240" w:lineRule="auto"/>
                    <w:ind w:firstLine="708"/>
                    <w:jc w:val="both"/>
                    <w:rPr>
                      <w:rFonts w:ascii="Times New Roman" w:hAnsi="Times New Roman"/>
                      <w:sz w:val="28"/>
                      <w:szCs w:val="28"/>
                    </w:rPr>
                  </w:pPr>
                </w:p>
                <w:p w:rsidR="006E51A0" w:rsidRPr="006377FD" w:rsidRDefault="006E51A0" w:rsidP="006E51A0">
                  <w:pPr>
                    <w:numPr>
                      <w:ilvl w:val="0"/>
                      <w:numId w:val="25"/>
                    </w:numPr>
                    <w:spacing w:line="240" w:lineRule="auto"/>
                    <w:jc w:val="both"/>
                    <w:rPr>
                      <w:rFonts w:ascii="Times New Roman" w:hAnsi="Times New Roman"/>
                      <w:color w:val="FFFFFF"/>
                      <w:sz w:val="28"/>
                      <w:szCs w:val="28"/>
                    </w:rPr>
                  </w:pPr>
                </w:p>
              </w:txbxContent>
            </v:textbox>
          </v:shape>
        </w:pict>
      </w:r>
      <w:r>
        <w:rPr>
          <w:noProof/>
          <w:lang w:eastAsia="uk-UA"/>
        </w:rPr>
        <w:pict>
          <v:shape id="_x0000_s1311" type="#_x0000_t202" style="position:absolute;margin-left:-2.1pt;margin-top:5.45pt;width:365.05pt;height:482pt;z-index:27" strokecolor="white">
            <v:textbox>
              <w:txbxContent>
                <w:p w:rsidR="008A61D0" w:rsidRPr="00863E8F" w:rsidRDefault="00722BDA" w:rsidP="00722BDA">
                  <w:pPr>
                    <w:spacing w:after="0" w:line="240" w:lineRule="auto"/>
                    <w:jc w:val="both"/>
                    <w:rPr>
                      <w:rFonts w:ascii="Times New Roman" w:hAnsi="Times New Roman"/>
                      <w:sz w:val="28"/>
                      <w:szCs w:val="28"/>
                    </w:rPr>
                  </w:pPr>
                  <w:r w:rsidRPr="00863E8F">
                    <w:rPr>
                      <w:rFonts w:ascii="Times New Roman" w:hAnsi="Times New Roman"/>
                      <w:sz w:val="28"/>
                      <w:szCs w:val="28"/>
                    </w:rPr>
                    <w:t xml:space="preserve">Національного банку України від 29 грудня 2017 року </w:t>
                  </w:r>
                  <w:r w:rsidR="008A61D0" w:rsidRPr="00863E8F">
                    <w:rPr>
                      <w:rFonts w:ascii="Times New Roman" w:hAnsi="Times New Roman"/>
                      <w:sz w:val="28"/>
                      <w:szCs w:val="28"/>
                    </w:rPr>
                    <w:t>№ 148 із змінами і доповненнями (далі – Положення № 148), зобов’язана(е) визначити та</w:t>
                  </w:r>
                  <w:r w:rsidR="0052052C" w:rsidRPr="00863E8F">
                    <w:rPr>
                      <w:rFonts w:ascii="Times New Roman" w:hAnsi="Times New Roman"/>
                      <w:sz w:val="28"/>
                      <w:szCs w:val="28"/>
                    </w:rPr>
                    <w:t xml:space="preserve"> </w:t>
                  </w:r>
                  <w:r w:rsidR="008A61D0" w:rsidRPr="00863E8F">
                    <w:rPr>
                      <w:rFonts w:ascii="Times New Roman" w:hAnsi="Times New Roman"/>
                      <w:sz w:val="28"/>
                      <w:szCs w:val="28"/>
                    </w:rPr>
                    <w:t xml:space="preserve">затвердити внутрішнім документом місце та спосіб зберігання відокремленими підрозділами щоденних Z-звітів у електронній формі, формат їх зберігання, а також відповідальну за зберігання цих </w:t>
                  </w:r>
                  <w:proofErr w:type="spellStart"/>
                  <w:r w:rsidR="008A61D0" w:rsidRPr="00863E8F">
                    <w:rPr>
                      <w:rFonts w:ascii="Times New Roman" w:hAnsi="Times New Roman"/>
                      <w:sz w:val="28"/>
                      <w:szCs w:val="28"/>
                    </w:rPr>
                    <w:t>чеків</w:t>
                  </w:r>
                  <w:proofErr w:type="spellEnd"/>
                  <w:r w:rsidR="008A61D0" w:rsidRPr="00863E8F">
                    <w:rPr>
                      <w:rFonts w:ascii="Times New Roman" w:hAnsi="Times New Roman"/>
                      <w:sz w:val="28"/>
                      <w:szCs w:val="28"/>
                    </w:rPr>
                    <w:t xml:space="preserve"> особу (абзац другий п. 12 розд</w:t>
                  </w:r>
                  <w:r w:rsidR="00BE3781">
                    <w:rPr>
                      <w:rFonts w:ascii="Times New Roman" w:hAnsi="Times New Roman"/>
                      <w:sz w:val="28"/>
                      <w:szCs w:val="28"/>
                    </w:rPr>
                    <w:t>ілу</w:t>
                  </w:r>
                  <w:r w:rsidR="008A61D0" w:rsidRPr="00863E8F">
                    <w:rPr>
                      <w:rFonts w:ascii="Times New Roman" w:hAnsi="Times New Roman"/>
                      <w:sz w:val="28"/>
                      <w:szCs w:val="28"/>
                    </w:rPr>
                    <w:t xml:space="preserve"> ІІ Положення № 148).</w:t>
                  </w:r>
                </w:p>
                <w:p w:rsidR="008A61D0" w:rsidRPr="00863E8F" w:rsidRDefault="00C05E42" w:rsidP="008A61D0">
                  <w:pPr>
                    <w:spacing w:line="240" w:lineRule="auto"/>
                    <w:ind w:firstLine="708"/>
                    <w:jc w:val="both"/>
                    <w:rPr>
                      <w:rFonts w:ascii="Times New Roman" w:hAnsi="Times New Roman"/>
                      <w:sz w:val="28"/>
                      <w:szCs w:val="28"/>
                    </w:rPr>
                  </w:pPr>
                  <w:r w:rsidRPr="00863E8F">
                    <w:rPr>
                      <w:rFonts w:ascii="Times New Roman" w:hAnsi="Times New Roman"/>
                      <w:sz w:val="28"/>
                      <w:szCs w:val="28"/>
                    </w:rPr>
                    <w:t>Також варто зазначити, що с</w:t>
                  </w:r>
                  <w:r w:rsidR="008A61D0" w:rsidRPr="00863E8F">
                    <w:rPr>
                      <w:rFonts w:ascii="Times New Roman" w:hAnsi="Times New Roman"/>
                      <w:sz w:val="28"/>
                      <w:szCs w:val="28"/>
                    </w:rPr>
                    <w:t xml:space="preserve">уб’єкти господарювання, які здійснюють розрахункові операції в готівковій та/або безготівковій формі при продажу товарів (наданні послуг) у сфері торгівлі, громадського харчування та послуг, крім суб’єктів господарювання, які відповідно до рішень, затверджених власними розпорядчими документами, про те, що у випадку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зобов’язані зареєструвати книгу обліку розрахункових операцій (далі – КОРО) (п. 1 глави 1 </w:t>
                  </w:r>
                  <w:proofErr w:type="spellStart"/>
                  <w:r w:rsidR="008A61D0" w:rsidRPr="00863E8F">
                    <w:rPr>
                      <w:rFonts w:ascii="Times New Roman" w:hAnsi="Times New Roman"/>
                      <w:sz w:val="28"/>
                      <w:szCs w:val="28"/>
                    </w:rPr>
                    <w:t>розд</w:t>
                  </w:r>
                  <w:proofErr w:type="spellEnd"/>
                  <w:r w:rsidR="008A61D0" w:rsidRPr="00863E8F">
                    <w:rPr>
                      <w:rFonts w:ascii="Times New Roman" w:hAnsi="Times New Roman"/>
                      <w:sz w:val="28"/>
                      <w:szCs w:val="28"/>
                    </w:rPr>
                    <w:t>. II Порядку № 547).</w:t>
                  </w:r>
                </w:p>
                <w:p w:rsidR="0052052C" w:rsidRPr="00863E8F" w:rsidRDefault="00154472" w:rsidP="00154472">
                  <w:pPr>
                    <w:spacing w:line="240" w:lineRule="auto"/>
                    <w:ind w:firstLine="708"/>
                    <w:jc w:val="both"/>
                    <w:rPr>
                      <w:rFonts w:ascii="Times New Roman" w:hAnsi="Times New Roman"/>
                      <w:sz w:val="28"/>
                      <w:szCs w:val="28"/>
                    </w:rPr>
                  </w:pPr>
                  <w:r w:rsidRPr="00863E8F">
                    <w:rPr>
                      <w:rFonts w:ascii="Times New Roman" w:hAnsi="Times New Roman"/>
                      <w:sz w:val="28"/>
                      <w:szCs w:val="28"/>
                    </w:rPr>
                    <w:t xml:space="preserve">Згідно з </w:t>
                  </w:r>
                  <w:proofErr w:type="spellStart"/>
                  <w:r w:rsidRPr="00863E8F">
                    <w:rPr>
                      <w:rFonts w:ascii="Times New Roman" w:hAnsi="Times New Roman"/>
                      <w:sz w:val="28"/>
                      <w:szCs w:val="28"/>
                    </w:rPr>
                    <w:t>пп</w:t>
                  </w:r>
                  <w:proofErr w:type="spellEnd"/>
                  <w:r w:rsidRPr="00863E8F">
                    <w:rPr>
                      <w:rFonts w:ascii="Times New Roman" w:hAnsi="Times New Roman"/>
                      <w:sz w:val="28"/>
                      <w:szCs w:val="28"/>
                    </w:rPr>
                    <w:t>. 24 і 28 постанови Кабінету Міністрів України від 18 лютого 2002 року № 199 «Про затвердження вимог щодо реалізації фіскальних функцій реєстраторами розрахункових операцій та вимог щодо забезпечення виконання фіскальних функцій програмними реєстраторами розрахункових операцій для різних сфер застосування» із змінами та доповненнями</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D33F64" w:rsidP="008B37C9">
      <w:pPr>
        <w:tabs>
          <w:tab w:val="left" w:pos="11418"/>
        </w:tabs>
        <w:rPr>
          <w:lang w:val="ru-RU"/>
        </w:rPr>
      </w:pPr>
      <w:r>
        <w:rPr>
          <w:noProof/>
          <w:lang w:eastAsia="uk-UA"/>
        </w:rPr>
        <w:pict>
          <v:oval id="_x0000_s1306" style="position:absolute;margin-left:588.3pt;margin-top:9.95pt;width:23.25pt;height:23.45pt;z-index:24" fillcolor="#8db3e2">
            <v:textbox style="mso-next-textbox:#_x0000_s1306">
              <w:txbxContent>
                <w:p w:rsidR="00254FF1" w:rsidRPr="00520BC1" w:rsidRDefault="00520BC1" w:rsidP="00254FF1">
                  <w:pPr>
                    <w:rPr>
                      <w:u w:val="single"/>
                    </w:rPr>
                  </w:pPr>
                  <w:r>
                    <w:rPr>
                      <w:u w:val="single"/>
                    </w:rPr>
                    <w:t>5</w:t>
                  </w:r>
                </w:p>
              </w:txbxContent>
            </v:textbox>
          </v:oval>
        </w:pict>
      </w:r>
      <w:r>
        <w:rPr>
          <w:noProof/>
          <w:lang w:eastAsia="uk-UA"/>
        </w:rPr>
        <w:pict>
          <v:oval id="_x0000_s1305" style="position:absolute;margin-left:169.25pt;margin-top:9.95pt;width:23.25pt;height:23.45pt;z-index:23" fillcolor="#8db3e2">
            <v:textbox style="mso-next-textbox:#_x0000_s1305">
              <w:txbxContent>
                <w:p w:rsidR="00254FF1" w:rsidRPr="00520BC1" w:rsidRDefault="00520BC1" w:rsidP="00254FF1">
                  <w:pPr>
                    <w:rPr>
                      <w:u w:val="single"/>
                    </w:rPr>
                  </w:pPr>
                  <w:r>
                    <w:rPr>
                      <w:u w:val="single"/>
                    </w:rPr>
                    <w:t>4</w:t>
                  </w:r>
                </w:p>
              </w:txbxContent>
            </v:textbox>
          </v:oval>
        </w:pict>
      </w:r>
      <w:r w:rsidR="008B37C9">
        <w:rPr>
          <w:lang w:val="ru-RU"/>
        </w:rPr>
        <w:tab/>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A95BE"/>
    <w:lvl w:ilvl="0">
      <w:start w:val="1"/>
      <w:numFmt w:val="decimal"/>
      <w:lvlText w:val="%1."/>
      <w:lvlJc w:val="left"/>
      <w:pPr>
        <w:tabs>
          <w:tab w:val="num" w:pos="1492"/>
        </w:tabs>
        <w:ind w:left="1492" w:hanging="360"/>
      </w:pPr>
    </w:lvl>
  </w:abstractNum>
  <w:abstractNum w:abstractNumId="1">
    <w:nsid w:val="FFFFFF7D"/>
    <w:multiLevelType w:val="singleLevel"/>
    <w:tmpl w:val="FB06B976"/>
    <w:lvl w:ilvl="0">
      <w:start w:val="1"/>
      <w:numFmt w:val="decimal"/>
      <w:lvlText w:val="%1."/>
      <w:lvlJc w:val="left"/>
      <w:pPr>
        <w:tabs>
          <w:tab w:val="num" w:pos="1209"/>
        </w:tabs>
        <w:ind w:left="1209" w:hanging="360"/>
      </w:pPr>
    </w:lvl>
  </w:abstractNum>
  <w:abstractNum w:abstractNumId="2">
    <w:nsid w:val="FFFFFF7E"/>
    <w:multiLevelType w:val="singleLevel"/>
    <w:tmpl w:val="A35A6166"/>
    <w:lvl w:ilvl="0">
      <w:start w:val="1"/>
      <w:numFmt w:val="decimal"/>
      <w:lvlText w:val="%1."/>
      <w:lvlJc w:val="left"/>
      <w:pPr>
        <w:tabs>
          <w:tab w:val="num" w:pos="926"/>
        </w:tabs>
        <w:ind w:left="926" w:hanging="360"/>
      </w:pPr>
    </w:lvl>
  </w:abstractNum>
  <w:abstractNum w:abstractNumId="3">
    <w:nsid w:val="FFFFFF7F"/>
    <w:multiLevelType w:val="singleLevel"/>
    <w:tmpl w:val="565EBA46"/>
    <w:lvl w:ilvl="0">
      <w:start w:val="1"/>
      <w:numFmt w:val="decimal"/>
      <w:lvlText w:val="%1."/>
      <w:lvlJc w:val="left"/>
      <w:pPr>
        <w:tabs>
          <w:tab w:val="num" w:pos="643"/>
        </w:tabs>
        <w:ind w:left="643" w:hanging="360"/>
      </w:pPr>
    </w:lvl>
  </w:abstractNum>
  <w:abstractNum w:abstractNumId="4">
    <w:nsid w:val="FFFFFF80"/>
    <w:multiLevelType w:val="singleLevel"/>
    <w:tmpl w:val="4178F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129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32D8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E7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96A408"/>
    <w:lvl w:ilvl="0">
      <w:start w:val="1"/>
      <w:numFmt w:val="decimal"/>
      <w:lvlText w:val="%1."/>
      <w:lvlJc w:val="left"/>
      <w:pPr>
        <w:tabs>
          <w:tab w:val="num" w:pos="360"/>
        </w:tabs>
        <w:ind w:left="360" w:hanging="360"/>
      </w:pPr>
    </w:lvl>
  </w:abstractNum>
  <w:abstractNum w:abstractNumId="9">
    <w:nsid w:val="FFFFFF89"/>
    <w:multiLevelType w:val="singleLevel"/>
    <w:tmpl w:val="9042E0C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F5141A6"/>
    <w:multiLevelType w:val="hybridMultilevel"/>
    <w:tmpl w:val="91D632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5E1ED6"/>
    <w:multiLevelType w:val="hybridMultilevel"/>
    <w:tmpl w:val="B238C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A16B39"/>
    <w:multiLevelType w:val="hybridMultilevel"/>
    <w:tmpl w:val="4ED817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7"/>
  </w:num>
  <w:num w:numId="4">
    <w:abstractNumId w:val="20"/>
  </w:num>
  <w:num w:numId="5">
    <w:abstractNumId w:val="12"/>
  </w:num>
  <w:num w:numId="6">
    <w:abstractNumId w:val="19"/>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3"/>
  </w:num>
  <w:num w:numId="22">
    <w:abstractNumId w:val="22"/>
  </w:num>
  <w:num w:numId="23">
    <w:abstractNumId w:val="21"/>
  </w:num>
  <w:num w:numId="24">
    <w:abstractNumId w:val="25"/>
  </w:num>
  <w:num w:numId="25">
    <w:abstractNumId w:val="16"/>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C57"/>
    <w:rsid w:val="00083860"/>
    <w:rsid w:val="00093881"/>
    <w:rsid w:val="0009544C"/>
    <w:rsid w:val="000955E8"/>
    <w:rsid w:val="000A16E2"/>
    <w:rsid w:val="000A5719"/>
    <w:rsid w:val="000B00B0"/>
    <w:rsid w:val="000B46E9"/>
    <w:rsid w:val="000B7872"/>
    <w:rsid w:val="000C3528"/>
    <w:rsid w:val="000C5394"/>
    <w:rsid w:val="000C549F"/>
    <w:rsid w:val="000C67F0"/>
    <w:rsid w:val="000C6FF9"/>
    <w:rsid w:val="000E2BB4"/>
    <w:rsid w:val="000E4E59"/>
    <w:rsid w:val="000F0E8F"/>
    <w:rsid w:val="000F28BF"/>
    <w:rsid w:val="001029F3"/>
    <w:rsid w:val="00105EC5"/>
    <w:rsid w:val="0011043C"/>
    <w:rsid w:val="00127C88"/>
    <w:rsid w:val="00134A21"/>
    <w:rsid w:val="00136364"/>
    <w:rsid w:val="00137512"/>
    <w:rsid w:val="001428D3"/>
    <w:rsid w:val="00150FBD"/>
    <w:rsid w:val="00154472"/>
    <w:rsid w:val="00155145"/>
    <w:rsid w:val="0016476A"/>
    <w:rsid w:val="001669FE"/>
    <w:rsid w:val="00166DF7"/>
    <w:rsid w:val="0017167D"/>
    <w:rsid w:val="00180B29"/>
    <w:rsid w:val="0019105C"/>
    <w:rsid w:val="00194E9E"/>
    <w:rsid w:val="001B1578"/>
    <w:rsid w:val="001B1C3C"/>
    <w:rsid w:val="001B6296"/>
    <w:rsid w:val="001B7AC3"/>
    <w:rsid w:val="001D184B"/>
    <w:rsid w:val="001D2D30"/>
    <w:rsid w:val="001D564F"/>
    <w:rsid w:val="001D67FC"/>
    <w:rsid w:val="001E0F13"/>
    <w:rsid w:val="001E2471"/>
    <w:rsid w:val="001E2F29"/>
    <w:rsid w:val="001E760F"/>
    <w:rsid w:val="00201D6B"/>
    <w:rsid w:val="0020212F"/>
    <w:rsid w:val="00203B93"/>
    <w:rsid w:val="00211C17"/>
    <w:rsid w:val="00215A69"/>
    <w:rsid w:val="002208B7"/>
    <w:rsid w:val="0022498D"/>
    <w:rsid w:val="0022740A"/>
    <w:rsid w:val="00233795"/>
    <w:rsid w:val="00234F98"/>
    <w:rsid w:val="00237C92"/>
    <w:rsid w:val="00243575"/>
    <w:rsid w:val="00254FF1"/>
    <w:rsid w:val="002614FA"/>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40C6C"/>
    <w:rsid w:val="00362414"/>
    <w:rsid w:val="003660AD"/>
    <w:rsid w:val="0037551C"/>
    <w:rsid w:val="00376A18"/>
    <w:rsid w:val="003814E8"/>
    <w:rsid w:val="00390E57"/>
    <w:rsid w:val="003A4703"/>
    <w:rsid w:val="003A5040"/>
    <w:rsid w:val="003D52D7"/>
    <w:rsid w:val="003E4BE8"/>
    <w:rsid w:val="003E7E0E"/>
    <w:rsid w:val="003F4AF4"/>
    <w:rsid w:val="00400221"/>
    <w:rsid w:val="00400373"/>
    <w:rsid w:val="00403DDE"/>
    <w:rsid w:val="00406E96"/>
    <w:rsid w:val="00423AB9"/>
    <w:rsid w:val="00424015"/>
    <w:rsid w:val="00430379"/>
    <w:rsid w:val="00432AF3"/>
    <w:rsid w:val="00440693"/>
    <w:rsid w:val="004416E9"/>
    <w:rsid w:val="00444DD5"/>
    <w:rsid w:val="00460579"/>
    <w:rsid w:val="0046327A"/>
    <w:rsid w:val="00482091"/>
    <w:rsid w:val="004A3CB5"/>
    <w:rsid w:val="004A3DA8"/>
    <w:rsid w:val="004B2E63"/>
    <w:rsid w:val="004B395D"/>
    <w:rsid w:val="004B710C"/>
    <w:rsid w:val="004C3977"/>
    <w:rsid w:val="004C46D6"/>
    <w:rsid w:val="004E11FF"/>
    <w:rsid w:val="0050066C"/>
    <w:rsid w:val="00505559"/>
    <w:rsid w:val="00511ACE"/>
    <w:rsid w:val="005129AB"/>
    <w:rsid w:val="0052052C"/>
    <w:rsid w:val="00520BC1"/>
    <w:rsid w:val="00524B40"/>
    <w:rsid w:val="00534CCB"/>
    <w:rsid w:val="005506B3"/>
    <w:rsid w:val="00550B0B"/>
    <w:rsid w:val="00553BBE"/>
    <w:rsid w:val="00556971"/>
    <w:rsid w:val="00557AAD"/>
    <w:rsid w:val="0056396B"/>
    <w:rsid w:val="005714BB"/>
    <w:rsid w:val="00584394"/>
    <w:rsid w:val="00584C55"/>
    <w:rsid w:val="00585865"/>
    <w:rsid w:val="00595206"/>
    <w:rsid w:val="005975C0"/>
    <w:rsid w:val="005A7938"/>
    <w:rsid w:val="005B2E53"/>
    <w:rsid w:val="005B3F93"/>
    <w:rsid w:val="005B79FA"/>
    <w:rsid w:val="005C2E1A"/>
    <w:rsid w:val="005C5960"/>
    <w:rsid w:val="005D30FB"/>
    <w:rsid w:val="005D776A"/>
    <w:rsid w:val="005E3FFA"/>
    <w:rsid w:val="00601BBB"/>
    <w:rsid w:val="0061674C"/>
    <w:rsid w:val="00617B7D"/>
    <w:rsid w:val="006377FD"/>
    <w:rsid w:val="00655F13"/>
    <w:rsid w:val="00657535"/>
    <w:rsid w:val="006779C9"/>
    <w:rsid w:val="006838B8"/>
    <w:rsid w:val="006861CD"/>
    <w:rsid w:val="006908FF"/>
    <w:rsid w:val="00691330"/>
    <w:rsid w:val="0069199E"/>
    <w:rsid w:val="00692AE5"/>
    <w:rsid w:val="006A055F"/>
    <w:rsid w:val="006A3DEB"/>
    <w:rsid w:val="006A6954"/>
    <w:rsid w:val="006C0CBE"/>
    <w:rsid w:val="006C162B"/>
    <w:rsid w:val="006C5DB4"/>
    <w:rsid w:val="006D06EE"/>
    <w:rsid w:val="006E223F"/>
    <w:rsid w:val="006E51A0"/>
    <w:rsid w:val="006F71C5"/>
    <w:rsid w:val="00702230"/>
    <w:rsid w:val="00705B01"/>
    <w:rsid w:val="007116B7"/>
    <w:rsid w:val="00711932"/>
    <w:rsid w:val="00714655"/>
    <w:rsid w:val="00722BDA"/>
    <w:rsid w:val="00726F02"/>
    <w:rsid w:val="00731392"/>
    <w:rsid w:val="00732BF6"/>
    <w:rsid w:val="007368C3"/>
    <w:rsid w:val="00740E3F"/>
    <w:rsid w:val="00743BD4"/>
    <w:rsid w:val="007449BA"/>
    <w:rsid w:val="00744C0A"/>
    <w:rsid w:val="00751764"/>
    <w:rsid w:val="00761D2B"/>
    <w:rsid w:val="00762558"/>
    <w:rsid w:val="007705BF"/>
    <w:rsid w:val="007801E2"/>
    <w:rsid w:val="00780A6E"/>
    <w:rsid w:val="00784C09"/>
    <w:rsid w:val="007879D9"/>
    <w:rsid w:val="007928CF"/>
    <w:rsid w:val="0079440E"/>
    <w:rsid w:val="007A1BC2"/>
    <w:rsid w:val="007A6D88"/>
    <w:rsid w:val="007C2DEB"/>
    <w:rsid w:val="007D2224"/>
    <w:rsid w:val="007D4F5D"/>
    <w:rsid w:val="007E23C6"/>
    <w:rsid w:val="007E4016"/>
    <w:rsid w:val="007E58DC"/>
    <w:rsid w:val="007F531B"/>
    <w:rsid w:val="0081707A"/>
    <w:rsid w:val="0082077F"/>
    <w:rsid w:val="00822E9B"/>
    <w:rsid w:val="00825096"/>
    <w:rsid w:val="008255BF"/>
    <w:rsid w:val="00830BB1"/>
    <w:rsid w:val="00831EF3"/>
    <w:rsid w:val="00833D26"/>
    <w:rsid w:val="00845806"/>
    <w:rsid w:val="00850A26"/>
    <w:rsid w:val="00860335"/>
    <w:rsid w:val="00863E8F"/>
    <w:rsid w:val="00874541"/>
    <w:rsid w:val="00875A07"/>
    <w:rsid w:val="00875A88"/>
    <w:rsid w:val="00877149"/>
    <w:rsid w:val="008771A4"/>
    <w:rsid w:val="00877201"/>
    <w:rsid w:val="00884D91"/>
    <w:rsid w:val="00885692"/>
    <w:rsid w:val="0088713D"/>
    <w:rsid w:val="00896B4F"/>
    <w:rsid w:val="008A58A5"/>
    <w:rsid w:val="008A61D0"/>
    <w:rsid w:val="008A7D57"/>
    <w:rsid w:val="008B37C9"/>
    <w:rsid w:val="008B541B"/>
    <w:rsid w:val="008E0540"/>
    <w:rsid w:val="008E39E4"/>
    <w:rsid w:val="008E4532"/>
    <w:rsid w:val="008E79B0"/>
    <w:rsid w:val="008F0EC7"/>
    <w:rsid w:val="008F1D61"/>
    <w:rsid w:val="008F4AE2"/>
    <w:rsid w:val="00900AE3"/>
    <w:rsid w:val="0090169D"/>
    <w:rsid w:val="0091362C"/>
    <w:rsid w:val="00916497"/>
    <w:rsid w:val="0092583B"/>
    <w:rsid w:val="009342D2"/>
    <w:rsid w:val="00944BBC"/>
    <w:rsid w:val="00944D42"/>
    <w:rsid w:val="00947D9E"/>
    <w:rsid w:val="0096195C"/>
    <w:rsid w:val="00966DBE"/>
    <w:rsid w:val="009747C6"/>
    <w:rsid w:val="00974BA2"/>
    <w:rsid w:val="00976DD6"/>
    <w:rsid w:val="009825E3"/>
    <w:rsid w:val="00982DBC"/>
    <w:rsid w:val="009906C6"/>
    <w:rsid w:val="00992893"/>
    <w:rsid w:val="009A1FA9"/>
    <w:rsid w:val="009A3699"/>
    <w:rsid w:val="009A4AB2"/>
    <w:rsid w:val="009A7C1B"/>
    <w:rsid w:val="009B220F"/>
    <w:rsid w:val="009B2DF3"/>
    <w:rsid w:val="009B30C2"/>
    <w:rsid w:val="009B5C2F"/>
    <w:rsid w:val="009C05E7"/>
    <w:rsid w:val="009C3752"/>
    <w:rsid w:val="009C6F56"/>
    <w:rsid w:val="009D2B9D"/>
    <w:rsid w:val="009D484E"/>
    <w:rsid w:val="009D5EB2"/>
    <w:rsid w:val="009E1469"/>
    <w:rsid w:val="009E652E"/>
    <w:rsid w:val="009F0D45"/>
    <w:rsid w:val="009F1A2C"/>
    <w:rsid w:val="009F7220"/>
    <w:rsid w:val="00A0339A"/>
    <w:rsid w:val="00A2648A"/>
    <w:rsid w:val="00A32CC3"/>
    <w:rsid w:val="00A3387F"/>
    <w:rsid w:val="00A367C9"/>
    <w:rsid w:val="00A432B0"/>
    <w:rsid w:val="00A44911"/>
    <w:rsid w:val="00A54D5A"/>
    <w:rsid w:val="00A62AF7"/>
    <w:rsid w:val="00A8288F"/>
    <w:rsid w:val="00A8422C"/>
    <w:rsid w:val="00AA04EE"/>
    <w:rsid w:val="00AA1F81"/>
    <w:rsid w:val="00AB302E"/>
    <w:rsid w:val="00AB5666"/>
    <w:rsid w:val="00AC06B0"/>
    <w:rsid w:val="00AC1838"/>
    <w:rsid w:val="00AC5BA9"/>
    <w:rsid w:val="00AD5B34"/>
    <w:rsid w:val="00AE3220"/>
    <w:rsid w:val="00AE35A2"/>
    <w:rsid w:val="00AE38AC"/>
    <w:rsid w:val="00AE58CF"/>
    <w:rsid w:val="00B00BA6"/>
    <w:rsid w:val="00B02A98"/>
    <w:rsid w:val="00B10009"/>
    <w:rsid w:val="00B12216"/>
    <w:rsid w:val="00B24109"/>
    <w:rsid w:val="00B30BBE"/>
    <w:rsid w:val="00B5144E"/>
    <w:rsid w:val="00B53BC2"/>
    <w:rsid w:val="00B56FC0"/>
    <w:rsid w:val="00B6207E"/>
    <w:rsid w:val="00B76281"/>
    <w:rsid w:val="00B93682"/>
    <w:rsid w:val="00B97752"/>
    <w:rsid w:val="00BA2E82"/>
    <w:rsid w:val="00BA37B6"/>
    <w:rsid w:val="00BB0BCE"/>
    <w:rsid w:val="00BB2E0C"/>
    <w:rsid w:val="00BB6642"/>
    <w:rsid w:val="00BC20C8"/>
    <w:rsid w:val="00BC3BFC"/>
    <w:rsid w:val="00BE3781"/>
    <w:rsid w:val="00BF2A7B"/>
    <w:rsid w:val="00BF4E4B"/>
    <w:rsid w:val="00C00485"/>
    <w:rsid w:val="00C00FC6"/>
    <w:rsid w:val="00C05E42"/>
    <w:rsid w:val="00C114CB"/>
    <w:rsid w:val="00C1416E"/>
    <w:rsid w:val="00C2119F"/>
    <w:rsid w:val="00C235D8"/>
    <w:rsid w:val="00C25950"/>
    <w:rsid w:val="00C2725F"/>
    <w:rsid w:val="00C42C9F"/>
    <w:rsid w:val="00C57F7E"/>
    <w:rsid w:val="00C847CB"/>
    <w:rsid w:val="00C87711"/>
    <w:rsid w:val="00C90797"/>
    <w:rsid w:val="00CA0DFF"/>
    <w:rsid w:val="00CA1A4A"/>
    <w:rsid w:val="00CA78CC"/>
    <w:rsid w:val="00CB0417"/>
    <w:rsid w:val="00CC28BB"/>
    <w:rsid w:val="00CE5014"/>
    <w:rsid w:val="00CE6163"/>
    <w:rsid w:val="00CF6F80"/>
    <w:rsid w:val="00D03754"/>
    <w:rsid w:val="00D15B9A"/>
    <w:rsid w:val="00D168EE"/>
    <w:rsid w:val="00D206B9"/>
    <w:rsid w:val="00D21462"/>
    <w:rsid w:val="00D309B7"/>
    <w:rsid w:val="00D30FF2"/>
    <w:rsid w:val="00D33F64"/>
    <w:rsid w:val="00D55CE5"/>
    <w:rsid w:val="00D562BB"/>
    <w:rsid w:val="00D62AB7"/>
    <w:rsid w:val="00D64DE9"/>
    <w:rsid w:val="00D670CF"/>
    <w:rsid w:val="00D84D59"/>
    <w:rsid w:val="00D8654F"/>
    <w:rsid w:val="00D90DFD"/>
    <w:rsid w:val="00D95CF2"/>
    <w:rsid w:val="00DA468A"/>
    <w:rsid w:val="00DA5B60"/>
    <w:rsid w:val="00DA77A6"/>
    <w:rsid w:val="00DB378A"/>
    <w:rsid w:val="00DB7FFE"/>
    <w:rsid w:val="00DC2F03"/>
    <w:rsid w:val="00DC4CEE"/>
    <w:rsid w:val="00DE5FA4"/>
    <w:rsid w:val="00DE657F"/>
    <w:rsid w:val="00DE6CEA"/>
    <w:rsid w:val="00DF1749"/>
    <w:rsid w:val="00E06638"/>
    <w:rsid w:val="00E221DC"/>
    <w:rsid w:val="00E2550B"/>
    <w:rsid w:val="00E358D8"/>
    <w:rsid w:val="00E51242"/>
    <w:rsid w:val="00E5335E"/>
    <w:rsid w:val="00E53816"/>
    <w:rsid w:val="00E72D84"/>
    <w:rsid w:val="00E74414"/>
    <w:rsid w:val="00E756A8"/>
    <w:rsid w:val="00EA7A2C"/>
    <w:rsid w:val="00EB4745"/>
    <w:rsid w:val="00EC11F6"/>
    <w:rsid w:val="00EC6E21"/>
    <w:rsid w:val="00ED306D"/>
    <w:rsid w:val="00ED4A59"/>
    <w:rsid w:val="00EE3B56"/>
    <w:rsid w:val="00EE59E6"/>
    <w:rsid w:val="00EF139E"/>
    <w:rsid w:val="00EF1D9C"/>
    <w:rsid w:val="00F0154F"/>
    <w:rsid w:val="00F04B8E"/>
    <w:rsid w:val="00F1143E"/>
    <w:rsid w:val="00F22482"/>
    <w:rsid w:val="00F30596"/>
    <w:rsid w:val="00F331BA"/>
    <w:rsid w:val="00F37AC5"/>
    <w:rsid w:val="00F42B16"/>
    <w:rsid w:val="00F43A7D"/>
    <w:rsid w:val="00F45886"/>
    <w:rsid w:val="00F51A6F"/>
    <w:rsid w:val="00F55EFE"/>
    <w:rsid w:val="00F56E21"/>
    <w:rsid w:val="00F617CF"/>
    <w:rsid w:val="00F67AC3"/>
    <w:rsid w:val="00F8420D"/>
    <w:rsid w:val="00FB059D"/>
    <w:rsid w:val="00FB6584"/>
    <w:rsid w:val="00FC04CF"/>
    <w:rsid w:val="00FC39FC"/>
    <w:rsid w:val="00FD0248"/>
    <w:rsid w:val="00FD23D5"/>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uiPriority w:val="22"/>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link w:val="ac"/>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d">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e">
    <w:name w:val="Знак Знак Знак Знак"/>
    <w:basedOn w:val="a"/>
    <w:rsid w:val="000B46E9"/>
    <w:pPr>
      <w:spacing w:after="0" w:line="240" w:lineRule="auto"/>
    </w:pPr>
    <w:rPr>
      <w:rFonts w:ascii="Verdana" w:hAnsi="Verdana"/>
      <w:sz w:val="20"/>
      <w:szCs w:val="20"/>
      <w:lang w:val="en-US"/>
    </w:rPr>
  </w:style>
  <w:style w:type="character" w:customStyle="1" w:styleId="ac">
    <w:name w:val="Основной текст Знак"/>
    <w:link w:val="ab"/>
    <w:rsid w:val="009A1FA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B13F-C078-4FC2-A394-1D680E23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59</Words>
  <Characters>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129</cp:revision>
  <cp:lastPrinted>2019-10-22T09:29:00Z</cp:lastPrinted>
  <dcterms:created xsi:type="dcterms:W3CDTF">2020-09-04T07:07:00Z</dcterms:created>
  <dcterms:modified xsi:type="dcterms:W3CDTF">2020-09-04T07:28:00Z</dcterms:modified>
</cp:coreProperties>
</file>