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B7652E"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4144;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192;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168;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000;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072;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09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6976"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D257F8" w:rsidRPr="00D257F8" w:rsidRDefault="00D257F8" w:rsidP="00D257F8">
                    <w:pPr>
                      <w:spacing w:after="0" w:line="240" w:lineRule="auto"/>
                      <w:jc w:val="center"/>
                      <w:rPr>
                        <w:rFonts w:ascii="Times New Roman" w:hAnsi="Times New Roman"/>
                        <w:b/>
                        <w:sz w:val="48"/>
                        <w:szCs w:val="48"/>
                      </w:rPr>
                    </w:pPr>
                    <w:r w:rsidRPr="00D257F8">
                      <w:rPr>
                        <w:rFonts w:ascii="Times New Roman" w:hAnsi="Times New Roman"/>
                        <w:b/>
                        <w:sz w:val="48"/>
                        <w:szCs w:val="48"/>
                      </w:rPr>
                      <w:t>До 01.01.2021 ФОП – платники ЄП при наданні стоматологічних послуг можуть не застосовувати РРО та/або ПРРО</w:t>
                    </w:r>
                  </w:p>
                  <w:p w:rsidR="002D5D6F" w:rsidRPr="00D257F8" w:rsidRDefault="002D5D6F" w:rsidP="002D5D6F">
                    <w:pPr>
                      <w:spacing w:after="0" w:line="240" w:lineRule="auto"/>
                      <w:jc w:val="center"/>
                      <w:rPr>
                        <w:rFonts w:ascii="Times New Roman" w:hAnsi="Times New Roman"/>
                        <w:b/>
                        <w:color w:val="17365D"/>
                        <w:sz w:val="48"/>
                        <w:szCs w:val="48"/>
                      </w:rPr>
                    </w:pPr>
                  </w:p>
                </w:txbxContent>
              </v:textbox>
            </v:shape>
          </v:group>
        </w:pict>
      </w:r>
      <w:r>
        <w:rPr>
          <w:noProof/>
          <w:lang w:val="ru-RU" w:eastAsia="ru-RU"/>
        </w:rPr>
        <w:pict>
          <v:line id="Прямая соединительная линия 6" o:spid="_x0000_s1253" style="position:absolute;flip:y;z-index:251653120;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B7652E" w:rsidP="00CC28BB">
                  <w:pPr>
                    <w:rPr>
                      <w:i/>
                      <w:sz w:val="16"/>
                    </w:rPr>
                  </w:pPr>
                  <w:r>
                    <w:rPr>
                      <w:i/>
                      <w:sz w:val="16"/>
                    </w:rPr>
                    <w:t>грудень</w:t>
                  </w:r>
                  <w:r w:rsidR="00265EDE">
                    <w:rPr>
                      <w:i/>
                      <w:sz w:val="16"/>
                    </w:rPr>
                    <w:t xml:space="preserve"> </w:t>
                  </w:r>
                  <w:r w:rsidR="005506B3">
                    <w:rPr>
                      <w:i/>
                      <w:sz w:val="16"/>
                    </w:rPr>
                    <w:t>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B7652E">
      <w:r>
        <w:rPr>
          <w:noProof/>
          <w:lang w:eastAsia="uk-UA"/>
        </w:rPr>
        <w:pict>
          <v:shape id="_x0000_s1313" type="#_x0000_t202" style="position:absolute;margin-left:-4.65pt;margin-top:9.7pt;width:371.85pt;height:425.6pt;z-index:251667456" strokecolor="white">
            <v:textbox>
              <w:txbxContent>
                <w:p w:rsidR="00F9113D" w:rsidRPr="00B546A5" w:rsidRDefault="00F9113D" w:rsidP="00F9113D">
                  <w:pPr>
                    <w:spacing w:after="0" w:line="240" w:lineRule="auto"/>
                    <w:jc w:val="both"/>
                    <w:rPr>
                      <w:rFonts w:ascii="Times New Roman" w:hAnsi="Times New Roman"/>
                      <w:sz w:val="28"/>
                      <w:szCs w:val="28"/>
                    </w:rPr>
                  </w:pPr>
                  <w:r w:rsidRPr="00B546A5">
                    <w:rPr>
                      <w:rFonts w:ascii="Times New Roman" w:hAnsi="Times New Roman"/>
                      <w:sz w:val="28"/>
                      <w:szCs w:val="28"/>
                    </w:rPr>
                    <w:t>РРО та/або ПРРО відповідно до ПКУ.</w:t>
                  </w:r>
                </w:p>
                <w:p w:rsidR="00B4191F" w:rsidRPr="00B546A5" w:rsidRDefault="00B4191F" w:rsidP="00B4191F">
                  <w:pPr>
                    <w:spacing w:after="0" w:line="240" w:lineRule="auto"/>
                    <w:ind w:firstLine="708"/>
                    <w:jc w:val="both"/>
                    <w:rPr>
                      <w:rFonts w:ascii="Times New Roman" w:hAnsi="Times New Roman"/>
                      <w:sz w:val="28"/>
                      <w:szCs w:val="28"/>
                    </w:rPr>
                  </w:pPr>
                  <w:r w:rsidRPr="00B546A5">
                    <w:rPr>
                      <w:rFonts w:ascii="Times New Roman" w:hAnsi="Times New Roman"/>
                      <w:sz w:val="28"/>
                      <w:szCs w:val="28"/>
                    </w:rPr>
                    <w:t>Вироби медичного призначення (медичні вироби) – будь-який інструмент, апарат, прилад, пристрій, програмне забезпечення, матеріал або інший виріб, призначені для діагностики, лікування, профілактики організму людини та (або) забезпечення таких процесів (абзац тридцять четвертий ст. 2 Закону № 265).</w:t>
                  </w:r>
                </w:p>
                <w:p w:rsidR="00B4191F" w:rsidRPr="00B546A5" w:rsidRDefault="006C5E6D" w:rsidP="00B4191F">
                  <w:pPr>
                    <w:spacing w:after="0" w:line="240" w:lineRule="auto"/>
                    <w:ind w:firstLine="708"/>
                    <w:jc w:val="both"/>
                    <w:rPr>
                      <w:rFonts w:ascii="Times New Roman" w:hAnsi="Times New Roman"/>
                      <w:sz w:val="28"/>
                      <w:szCs w:val="28"/>
                    </w:rPr>
                  </w:pPr>
                  <w:r w:rsidRPr="00B546A5">
                    <w:rPr>
                      <w:rFonts w:ascii="Times New Roman" w:hAnsi="Times New Roman"/>
                      <w:sz w:val="28"/>
                      <w:szCs w:val="28"/>
                    </w:rPr>
                    <w:t>Отже, а</w:t>
                  </w:r>
                  <w:r w:rsidR="00B4191F" w:rsidRPr="00B546A5">
                    <w:rPr>
                      <w:rFonts w:ascii="Times New Roman" w:hAnsi="Times New Roman"/>
                      <w:sz w:val="28"/>
                      <w:szCs w:val="28"/>
                    </w:rPr>
                    <w:t xml:space="preserve">бзацом другим ст. 2 Закону України від 04 квітня 1996 року № 123/96-ВР «Про лікарські засоби» із змінами та доповненнями встановлено, що лікарський засіб – будь-яка речовина або комбінація речовин (одного або декількох активних фармацевтичних інгредієнтів (далі –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 </w:t>
                  </w:r>
                </w:p>
                <w:p w:rsidR="00B4191F" w:rsidRPr="00B546A5" w:rsidRDefault="00B4191F" w:rsidP="00B4191F">
                  <w:pPr>
                    <w:spacing w:after="0" w:line="240" w:lineRule="auto"/>
                    <w:ind w:firstLine="708"/>
                    <w:jc w:val="both"/>
                    <w:rPr>
                      <w:rFonts w:ascii="Times New Roman" w:hAnsi="Times New Roman"/>
                      <w:sz w:val="28"/>
                      <w:szCs w:val="28"/>
                    </w:rPr>
                  </w:pPr>
                  <w:r w:rsidRPr="00B546A5">
                    <w:rPr>
                      <w:rFonts w:ascii="Times New Roman" w:hAnsi="Times New Roman"/>
                      <w:sz w:val="28"/>
                      <w:szCs w:val="28"/>
                    </w:rPr>
                    <w:t>Довідково: Загальнодоступний інформаційно-довідковий ресурс (категорія 109.04).</w:t>
                  </w:r>
                </w:p>
                <w:p w:rsidR="009E7B37" w:rsidRPr="009E7B37" w:rsidRDefault="009E7B37" w:rsidP="009E7B37">
                  <w:pPr>
                    <w:spacing w:after="0" w:line="240" w:lineRule="auto"/>
                    <w:jc w:val="both"/>
                    <w:rPr>
                      <w:rFonts w:ascii="Times New Roman" w:hAnsi="Times New Roman"/>
                      <w:sz w:val="32"/>
                      <w:szCs w:val="32"/>
                    </w:rPr>
                  </w:pPr>
                </w:p>
                <w:p w:rsidR="007770CA" w:rsidRPr="007770CA" w:rsidRDefault="007770CA" w:rsidP="007770CA">
                  <w:pPr>
                    <w:shd w:val="clear" w:color="auto" w:fill="FFFFFF"/>
                    <w:spacing w:after="0" w:line="240" w:lineRule="auto"/>
                    <w:jc w:val="both"/>
                    <w:rPr>
                      <w:rFonts w:ascii="Times New Roman" w:hAnsi="Times New Roman"/>
                      <w:b/>
                      <w:iCs/>
                      <w:caps/>
                      <w:color w:val="000000"/>
                      <w:sz w:val="28"/>
                      <w:szCs w:val="28"/>
                      <w:lang w:eastAsia="uk-UA"/>
                    </w:rPr>
                  </w:pPr>
                </w:p>
                <w:p w:rsidR="00550B0B" w:rsidRPr="007770CA" w:rsidRDefault="00550B0B" w:rsidP="000955E8">
                  <w:pPr>
                    <w:shd w:val="clear" w:color="auto" w:fill="FFFFFF"/>
                    <w:rPr>
                      <w:sz w:val="28"/>
                      <w:szCs w:val="28"/>
                    </w:rPr>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B7652E">
      <w:bookmarkStart w:id="0" w:name="_GoBack"/>
      <w:bookmarkEnd w:id="0"/>
      <w:r>
        <w:rPr>
          <w:noProof/>
          <w:lang w:eastAsia="uk-UA"/>
        </w:rPr>
        <w:pict>
          <v:shape id="Поле 11" o:spid="_x0000_s1037" type="#_x0000_t202" style="position:absolute;margin-left:-14.45pt;margin-top:2.8pt;width:388.3pt;height:4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647AFC" w:rsidRPr="00FE0531" w:rsidRDefault="00647AFC" w:rsidP="00647AFC">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647AFC" w:rsidRPr="00FE0531" w:rsidRDefault="00647AFC" w:rsidP="00647AFC">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647AFC" w:rsidRPr="00FE0531" w:rsidRDefault="00647AFC" w:rsidP="00647AFC">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BC6346">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B7652E">
      <w:r>
        <w:rPr>
          <w:noProof/>
          <w:lang w:eastAsia="uk-UA"/>
        </w:rPr>
        <w:pict>
          <v:oval id="_x0000_s1296" style="position:absolute;margin-left:159.65pt;margin-top:34.1pt;width:23.25pt;height:23.45pt;z-index:25166233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251661312"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B7652E">
      <w:r>
        <w:rPr>
          <w:noProof/>
          <w:lang w:eastAsia="uk-UA"/>
        </w:rPr>
        <w:lastRenderedPageBreak/>
        <w:pict>
          <v:shape id="_x0000_s1310" type="#_x0000_t202" style="position:absolute;margin-left:408.7pt;margin-top:23pt;width:372.7pt;height:495.8pt;z-index:251666432" strokecolor="white">
            <v:textbox>
              <w:txbxContent>
                <w:p w:rsidR="00D257F8" w:rsidRPr="00B546A5" w:rsidRDefault="00F9113D" w:rsidP="00D257F8">
                  <w:pPr>
                    <w:spacing w:after="0" w:line="240" w:lineRule="auto"/>
                    <w:jc w:val="both"/>
                    <w:rPr>
                      <w:rFonts w:ascii="Times New Roman" w:hAnsi="Times New Roman"/>
                      <w:sz w:val="28"/>
                      <w:szCs w:val="28"/>
                    </w:rPr>
                  </w:pPr>
                  <w:r w:rsidRPr="00B546A5">
                    <w:rPr>
                      <w:rFonts w:ascii="Times New Roman" w:hAnsi="Times New Roman"/>
                      <w:sz w:val="28"/>
                      <w:szCs w:val="28"/>
                    </w:rPr>
                    <w:t xml:space="preserve">розрахункові операції на повну суму покупки (надання послуги) </w:t>
                  </w:r>
                  <w:r w:rsidR="00D257F8" w:rsidRPr="00B546A5">
                    <w:rPr>
                      <w:rFonts w:ascii="Times New Roman" w:hAnsi="Times New Roman"/>
                      <w:sz w:val="28"/>
                      <w:szCs w:val="28"/>
                    </w:rPr>
                    <w:t>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із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 (далі – РК).</w:t>
                  </w:r>
                </w:p>
                <w:p w:rsidR="0055063C" w:rsidRPr="00B546A5" w:rsidRDefault="0055063C" w:rsidP="0055063C">
                  <w:pPr>
                    <w:spacing w:after="0" w:line="240" w:lineRule="auto"/>
                    <w:ind w:firstLine="708"/>
                    <w:jc w:val="both"/>
                    <w:rPr>
                      <w:rFonts w:ascii="Times New Roman" w:hAnsi="Times New Roman"/>
                      <w:sz w:val="28"/>
                      <w:szCs w:val="28"/>
                    </w:rPr>
                  </w:pPr>
                  <w:r w:rsidRPr="00B546A5">
                    <w:rPr>
                      <w:rFonts w:ascii="Times New Roman" w:hAnsi="Times New Roman"/>
                      <w:sz w:val="28"/>
                      <w:szCs w:val="28"/>
                    </w:rPr>
                    <w:t>Пунктом 296.10 ст. 296 Податкового кодексу України від 02 грудня 2010 року № 2755-VI із змінами та доповненнями (далі – ПКУ) встановлено, що РРО та/або ПРРО не застосовуються платниками єдиного податку першої групи.</w:t>
                  </w:r>
                </w:p>
                <w:p w:rsidR="0055063C" w:rsidRPr="00B546A5" w:rsidRDefault="0055063C" w:rsidP="0055063C">
                  <w:pPr>
                    <w:spacing w:after="0" w:line="240" w:lineRule="auto"/>
                    <w:ind w:firstLine="708"/>
                    <w:jc w:val="both"/>
                    <w:rPr>
                      <w:rFonts w:ascii="Times New Roman" w:hAnsi="Times New Roman"/>
                      <w:sz w:val="28"/>
                      <w:szCs w:val="28"/>
                    </w:rPr>
                  </w:pPr>
                  <w:r w:rsidRPr="00B546A5">
                    <w:rPr>
                      <w:rFonts w:ascii="Times New Roman" w:hAnsi="Times New Roman"/>
                      <w:sz w:val="28"/>
                      <w:szCs w:val="28"/>
                    </w:rPr>
                    <w:t xml:space="preserve">Водночас, п. 61 </w:t>
                  </w:r>
                  <w:proofErr w:type="spellStart"/>
                  <w:r w:rsidRPr="00B546A5">
                    <w:rPr>
                      <w:rFonts w:ascii="Times New Roman" w:hAnsi="Times New Roman"/>
                      <w:sz w:val="28"/>
                      <w:szCs w:val="28"/>
                    </w:rPr>
                    <w:t>підрозд</w:t>
                  </w:r>
                  <w:proofErr w:type="spellEnd"/>
                  <w:r w:rsidRPr="00B546A5">
                    <w:rPr>
                      <w:rFonts w:ascii="Times New Roman" w:hAnsi="Times New Roman"/>
                      <w:sz w:val="28"/>
                      <w:szCs w:val="28"/>
                    </w:rPr>
                    <w:t xml:space="preserve">. 10 </w:t>
                  </w:r>
                  <w:proofErr w:type="spellStart"/>
                  <w:r w:rsidRPr="00B546A5">
                    <w:rPr>
                      <w:rFonts w:ascii="Times New Roman" w:hAnsi="Times New Roman"/>
                      <w:sz w:val="28"/>
                      <w:szCs w:val="28"/>
                    </w:rPr>
                    <w:t>розд</w:t>
                  </w:r>
                  <w:proofErr w:type="spellEnd"/>
                  <w:r w:rsidRPr="00B546A5">
                    <w:rPr>
                      <w:rFonts w:ascii="Times New Roman" w:hAnsi="Times New Roman"/>
                      <w:sz w:val="28"/>
                      <w:szCs w:val="28"/>
                    </w:rPr>
                    <w:t>. XX «Інші перехідні положення» ПКУ передбачено, що до 01 січня 2021 року РРО та/або програмні РРО не застосовуються платниками єдиного податку другої – четвертої груп (фізичними особами – підприємцями) незалежно від обраного виду діяльності, обсяг доходу яких протягом календарного року не перевищує 1000000 грн., крім тих, які здійснюють, зокрема, реалізацію лікарських засобів та виробів медичного призначення.</w:t>
                  </w:r>
                </w:p>
                <w:p w:rsidR="00584C55" w:rsidRPr="00B546A5" w:rsidRDefault="0055063C" w:rsidP="009E7B37">
                  <w:pPr>
                    <w:spacing w:after="0" w:line="240" w:lineRule="auto"/>
                    <w:ind w:firstLine="708"/>
                    <w:jc w:val="both"/>
                    <w:rPr>
                      <w:sz w:val="28"/>
                      <w:szCs w:val="28"/>
                    </w:rPr>
                  </w:pPr>
                  <w:r w:rsidRPr="00B546A5">
                    <w:rPr>
                      <w:rFonts w:ascii="Times New Roman" w:hAnsi="Times New Roman"/>
                      <w:sz w:val="28"/>
                      <w:szCs w:val="28"/>
                    </w:rPr>
                    <w:t>Разом з тим, п. 6 ст. 9 Закону № 265 встановлено, що РРО та/або ПРРО та РК не застосовуються при продажу товарів (наданні послуг) платниками єдиного податку (фізичними особами – підприємцями), які не застосовують</w:t>
                  </w:r>
                </w:p>
              </w:txbxContent>
            </v:textbox>
          </v:shape>
        </w:pict>
      </w:r>
      <w:r>
        <w:rPr>
          <w:noProof/>
          <w:lang w:eastAsia="uk-UA"/>
        </w:rPr>
        <w:pict>
          <v:shape id="_x0000_s1309" type="#_x0000_t202" style="position:absolute;margin-left:-8.05pt;margin-top:23pt;width:369.3pt;height:495.8pt;z-index:251665408" strokecolor="white">
            <v:textbox>
              <w:txbxContent>
                <w:p w:rsidR="00D257F8" w:rsidRPr="00B546A5" w:rsidRDefault="00F9113D" w:rsidP="00D257F8">
                  <w:pPr>
                    <w:spacing w:after="0" w:line="240" w:lineRule="auto"/>
                    <w:ind w:firstLine="708"/>
                    <w:jc w:val="both"/>
                    <w:rPr>
                      <w:rFonts w:ascii="Times New Roman" w:hAnsi="Times New Roman"/>
                      <w:sz w:val="28"/>
                      <w:szCs w:val="28"/>
                    </w:rPr>
                  </w:pPr>
                  <w:r w:rsidRPr="00B546A5">
                    <w:rPr>
                      <w:rFonts w:ascii="Times New Roman" w:hAnsi="Times New Roman"/>
                      <w:sz w:val="28"/>
                      <w:szCs w:val="28"/>
                    </w:rPr>
                    <w:t>Фахівці Головного управління ДПС у Волинській області наголошують, що ф</w:t>
                  </w:r>
                  <w:r w:rsidR="00D257F8" w:rsidRPr="00B546A5">
                    <w:rPr>
                      <w:rFonts w:ascii="Times New Roman" w:hAnsi="Times New Roman"/>
                      <w:sz w:val="28"/>
                      <w:szCs w:val="28"/>
                    </w:rPr>
                    <w:t>ізичні особи – підприємці – платники єдиного податку другої – четвертої груп при наданні стоматологічних послуг не застосовують реєстратори розрахункових операцій (далі – РРО) та/або програмні РРО (далі – ПРРО), якщо обсяг доходу протягом календарного року не перевищує 1000000 гривень. У разі перевищення в календарному році обсягу доходу понад 1000000 грн. застосування РРО та/або ПРРО для таких платників єдиного податку є обов’язковим.</w:t>
                  </w:r>
                </w:p>
                <w:p w:rsidR="00D257F8" w:rsidRPr="00B546A5" w:rsidRDefault="00D257F8" w:rsidP="00D257F8">
                  <w:pPr>
                    <w:spacing w:after="0" w:line="240" w:lineRule="auto"/>
                    <w:ind w:firstLine="708"/>
                    <w:jc w:val="both"/>
                    <w:rPr>
                      <w:rFonts w:ascii="Times New Roman" w:hAnsi="Times New Roman"/>
                      <w:sz w:val="28"/>
                      <w:szCs w:val="28"/>
                      <w:lang w:val="ru-RU"/>
                    </w:rPr>
                  </w:pPr>
                  <w:r w:rsidRPr="00B546A5">
                    <w:rPr>
                      <w:rFonts w:ascii="Times New Roman" w:hAnsi="Times New Roman"/>
                      <w:sz w:val="28"/>
                      <w:szCs w:val="28"/>
                    </w:rPr>
                    <w:t>У разі, якщо фізичні особи – підприємці – платники єдиного податку другої – четвертої груп надають стоматологічні послуги та при цьому здійснюють реалізацію лікарських засобів і виробів медичного призначення, то незалежно від обсягу доходу, такі платники зобов’язані проводити розрахунки через зареєстрований, опломбований у встановленому порядку та переведений у фіскальний режим роботи РРО та/або ПРРО з наданням відповідного розрахункового документу.</w:t>
                  </w:r>
                </w:p>
                <w:p w:rsidR="000E0C9F" w:rsidRPr="00B546A5" w:rsidRDefault="00D257F8" w:rsidP="0067553D">
                  <w:pPr>
                    <w:spacing w:after="0" w:line="240" w:lineRule="auto"/>
                    <w:ind w:firstLine="708"/>
                    <w:jc w:val="both"/>
                    <w:rPr>
                      <w:rFonts w:eastAsia="Calibri"/>
                      <w:sz w:val="28"/>
                      <w:szCs w:val="28"/>
                    </w:rPr>
                  </w:pPr>
                  <w:r w:rsidRPr="00B546A5">
                    <w:rPr>
                      <w:rFonts w:ascii="Times New Roman" w:hAnsi="Times New Roman"/>
                      <w:sz w:val="28"/>
                      <w:szCs w:val="28"/>
                    </w:rPr>
                    <w:t xml:space="preserve">Відповідно до п. 1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w:t>
                  </w:r>
                  <w:proofErr w:type="spellStart"/>
                  <w:r w:rsidRPr="00B546A5">
                    <w:rPr>
                      <w:rFonts w:ascii="Times New Roman" w:hAnsi="Times New Roman"/>
                      <w:sz w:val="28"/>
                      <w:szCs w:val="28"/>
                    </w:rPr>
                    <w:t>чеків</w:t>
                  </w:r>
                  <w:proofErr w:type="spellEnd"/>
                  <w:r w:rsidRPr="00B546A5">
                    <w:rPr>
                      <w:rFonts w:ascii="Times New Roman" w:hAnsi="Times New Roman"/>
                      <w:sz w:val="28"/>
                      <w:szCs w:val="28"/>
                    </w:rPr>
                    <w:t>, жетонів тощо) при продажу товарів (наданні послуг) у сфері торгівлі, громадського харчування та послуг зобов’язані, зокрема, проводити</w:t>
                  </w:r>
                </w:p>
              </w:txbxContent>
            </v:textbox>
          </v:shape>
        </w:pict>
      </w:r>
      <w:r>
        <w:rPr>
          <w:noProof/>
          <w:lang w:eastAsia="uk-UA"/>
        </w:rPr>
        <w:pict>
          <v:shape id="_x0000_s1294" type="#_x0000_t75" style="position:absolute;margin-left:576.2pt;margin-top:-22.7pt;width:42.75pt;height:45.7pt;z-index:251660288;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240;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216;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264;visibility:visible" wrapcoords="-267 0 -267 16821 267 18350 533 18542 9067 21409 9600 21409 11733 21409 12267 21409 20800 18542 21067 18350 21600 16821 21600 0 -267 0">
            <v:imagedata r:id="rId7" o:title=""/>
            <w10:wrap type="tight"/>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B7652E">
      <w:pPr>
        <w:rPr>
          <w:lang w:val="ru-RU"/>
        </w:rPr>
      </w:pPr>
      <w:r>
        <w:rPr>
          <w:noProof/>
          <w:lang w:eastAsia="uk-UA"/>
        </w:rPr>
        <w:pict>
          <v:oval id="_x0000_s1301" style="position:absolute;margin-left:165.35pt;margin-top:9.95pt;width:23.25pt;height:23.45pt;z-index:251663360"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384"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55E8"/>
    <w:rsid w:val="000A16E2"/>
    <w:rsid w:val="000A5719"/>
    <w:rsid w:val="000B00B0"/>
    <w:rsid w:val="000B46E9"/>
    <w:rsid w:val="000B7872"/>
    <w:rsid w:val="000C3528"/>
    <w:rsid w:val="000C48A7"/>
    <w:rsid w:val="000C5394"/>
    <w:rsid w:val="000C549F"/>
    <w:rsid w:val="000C67F0"/>
    <w:rsid w:val="000C6FF9"/>
    <w:rsid w:val="000E0C9F"/>
    <w:rsid w:val="000E2BB4"/>
    <w:rsid w:val="000F0E8F"/>
    <w:rsid w:val="001029F3"/>
    <w:rsid w:val="00105EC5"/>
    <w:rsid w:val="0011043C"/>
    <w:rsid w:val="00122D11"/>
    <w:rsid w:val="00134A21"/>
    <w:rsid w:val="00136364"/>
    <w:rsid w:val="001428D3"/>
    <w:rsid w:val="00150FBD"/>
    <w:rsid w:val="00155145"/>
    <w:rsid w:val="0016167A"/>
    <w:rsid w:val="0016476A"/>
    <w:rsid w:val="001669FE"/>
    <w:rsid w:val="00166DF7"/>
    <w:rsid w:val="0017167D"/>
    <w:rsid w:val="00180B29"/>
    <w:rsid w:val="0019105C"/>
    <w:rsid w:val="00194E9E"/>
    <w:rsid w:val="001B1578"/>
    <w:rsid w:val="001B1C3C"/>
    <w:rsid w:val="001D184B"/>
    <w:rsid w:val="001D2D30"/>
    <w:rsid w:val="001D67FC"/>
    <w:rsid w:val="001E093D"/>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65EDE"/>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5040"/>
    <w:rsid w:val="003B5467"/>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4C5155"/>
    <w:rsid w:val="0050066C"/>
    <w:rsid w:val="00511ACE"/>
    <w:rsid w:val="005129AB"/>
    <w:rsid w:val="00520BC1"/>
    <w:rsid w:val="00524B40"/>
    <w:rsid w:val="00534CCB"/>
    <w:rsid w:val="0055063C"/>
    <w:rsid w:val="005506B3"/>
    <w:rsid w:val="00550B0B"/>
    <w:rsid w:val="00553BBE"/>
    <w:rsid w:val="00556971"/>
    <w:rsid w:val="00557AAD"/>
    <w:rsid w:val="005714BB"/>
    <w:rsid w:val="00584C55"/>
    <w:rsid w:val="00585865"/>
    <w:rsid w:val="00595206"/>
    <w:rsid w:val="005975C0"/>
    <w:rsid w:val="005A7938"/>
    <w:rsid w:val="005B237D"/>
    <w:rsid w:val="005B2E53"/>
    <w:rsid w:val="005B3F93"/>
    <w:rsid w:val="005B79FA"/>
    <w:rsid w:val="005C2E1A"/>
    <w:rsid w:val="005C5960"/>
    <w:rsid w:val="005D776A"/>
    <w:rsid w:val="005E3FFA"/>
    <w:rsid w:val="005F365F"/>
    <w:rsid w:val="00601BBB"/>
    <w:rsid w:val="006063C6"/>
    <w:rsid w:val="006166C3"/>
    <w:rsid w:val="0061674C"/>
    <w:rsid w:val="00617B7D"/>
    <w:rsid w:val="00647AFC"/>
    <w:rsid w:val="00655F13"/>
    <w:rsid w:val="00657535"/>
    <w:rsid w:val="0067553D"/>
    <w:rsid w:val="006779C9"/>
    <w:rsid w:val="006838B8"/>
    <w:rsid w:val="006861CD"/>
    <w:rsid w:val="006908FF"/>
    <w:rsid w:val="00691330"/>
    <w:rsid w:val="0069199E"/>
    <w:rsid w:val="006A055F"/>
    <w:rsid w:val="006A3DEB"/>
    <w:rsid w:val="006A6954"/>
    <w:rsid w:val="006C0CBE"/>
    <w:rsid w:val="006C5DB4"/>
    <w:rsid w:val="006C5E6D"/>
    <w:rsid w:val="006D06EE"/>
    <w:rsid w:val="006E0E8C"/>
    <w:rsid w:val="006E223F"/>
    <w:rsid w:val="006F71C5"/>
    <w:rsid w:val="00702230"/>
    <w:rsid w:val="00705B01"/>
    <w:rsid w:val="007116B7"/>
    <w:rsid w:val="00711932"/>
    <w:rsid w:val="00714655"/>
    <w:rsid w:val="00726F02"/>
    <w:rsid w:val="00732BF6"/>
    <w:rsid w:val="007368C3"/>
    <w:rsid w:val="00740E3F"/>
    <w:rsid w:val="00743BD4"/>
    <w:rsid w:val="007449BA"/>
    <w:rsid w:val="00744C0A"/>
    <w:rsid w:val="00751764"/>
    <w:rsid w:val="00761D2B"/>
    <w:rsid w:val="00762558"/>
    <w:rsid w:val="007705BF"/>
    <w:rsid w:val="007770CA"/>
    <w:rsid w:val="007801E2"/>
    <w:rsid w:val="00784C09"/>
    <w:rsid w:val="007879D9"/>
    <w:rsid w:val="007928CF"/>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D74D6"/>
    <w:rsid w:val="008E0540"/>
    <w:rsid w:val="008E39E4"/>
    <w:rsid w:val="008E4532"/>
    <w:rsid w:val="008E79B0"/>
    <w:rsid w:val="008F0EC7"/>
    <w:rsid w:val="008F1D61"/>
    <w:rsid w:val="008F4AE2"/>
    <w:rsid w:val="00900AE3"/>
    <w:rsid w:val="0090169D"/>
    <w:rsid w:val="0091362C"/>
    <w:rsid w:val="00916497"/>
    <w:rsid w:val="0092583B"/>
    <w:rsid w:val="0092768B"/>
    <w:rsid w:val="009342D2"/>
    <w:rsid w:val="00947D9E"/>
    <w:rsid w:val="009747C6"/>
    <w:rsid w:val="00974BA2"/>
    <w:rsid w:val="00976DD6"/>
    <w:rsid w:val="00982DBC"/>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E7B37"/>
    <w:rsid w:val="009F0D45"/>
    <w:rsid w:val="009F7220"/>
    <w:rsid w:val="00A0339A"/>
    <w:rsid w:val="00A12BD9"/>
    <w:rsid w:val="00A2648A"/>
    <w:rsid w:val="00A32CC3"/>
    <w:rsid w:val="00A32D5E"/>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D6C4E"/>
    <w:rsid w:val="00AE3220"/>
    <w:rsid w:val="00AE35A2"/>
    <w:rsid w:val="00AE38AC"/>
    <w:rsid w:val="00AE58CF"/>
    <w:rsid w:val="00AF66FD"/>
    <w:rsid w:val="00B02A98"/>
    <w:rsid w:val="00B10009"/>
    <w:rsid w:val="00B12216"/>
    <w:rsid w:val="00B24109"/>
    <w:rsid w:val="00B30BBE"/>
    <w:rsid w:val="00B37998"/>
    <w:rsid w:val="00B4191F"/>
    <w:rsid w:val="00B5144E"/>
    <w:rsid w:val="00B53BC2"/>
    <w:rsid w:val="00B546A5"/>
    <w:rsid w:val="00B56FC0"/>
    <w:rsid w:val="00B6207E"/>
    <w:rsid w:val="00B76281"/>
    <w:rsid w:val="00B7652E"/>
    <w:rsid w:val="00B93682"/>
    <w:rsid w:val="00B97752"/>
    <w:rsid w:val="00BA2E82"/>
    <w:rsid w:val="00BA37B6"/>
    <w:rsid w:val="00BB0BCE"/>
    <w:rsid w:val="00BB1222"/>
    <w:rsid w:val="00BB2E0C"/>
    <w:rsid w:val="00BB6642"/>
    <w:rsid w:val="00BC20C8"/>
    <w:rsid w:val="00BC3BFC"/>
    <w:rsid w:val="00BC6346"/>
    <w:rsid w:val="00BF2A7B"/>
    <w:rsid w:val="00BF4E4B"/>
    <w:rsid w:val="00C00FC6"/>
    <w:rsid w:val="00C114CB"/>
    <w:rsid w:val="00C118D8"/>
    <w:rsid w:val="00C2119F"/>
    <w:rsid w:val="00C235D8"/>
    <w:rsid w:val="00C25950"/>
    <w:rsid w:val="00C2725F"/>
    <w:rsid w:val="00C42C9F"/>
    <w:rsid w:val="00C57F7E"/>
    <w:rsid w:val="00C61A85"/>
    <w:rsid w:val="00C847CB"/>
    <w:rsid w:val="00C87711"/>
    <w:rsid w:val="00C90797"/>
    <w:rsid w:val="00CA0DFF"/>
    <w:rsid w:val="00CA1A4A"/>
    <w:rsid w:val="00CA78CC"/>
    <w:rsid w:val="00CB0417"/>
    <w:rsid w:val="00CC28BB"/>
    <w:rsid w:val="00CE6163"/>
    <w:rsid w:val="00CF6F80"/>
    <w:rsid w:val="00D15B9A"/>
    <w:rsid w:val="00D21462"/>
    <w:rsid w:val="00D257F8"/>
    <w:rsid w:val="00D309B7"/>
    <w:rsid w:val="00D30FF2"/>
    <w:rsid w:val="00D55CE5"/>
    <w:rsid w:val="00D562BB"/>
    <w:rsid w:val="00D62AB7"/>
    <w:rsid w:val="00D64DE9"/>
    <w:rsid w:val="00D670CF"/>
    <w:rsid w:val="00D84D59"/>
    <w:rsid w:val="00D8654F"/>
    <w:rsid w:val="00D90DFD"/>
    <w:rsid w:val="00D95CF2"/>
    <w:rsid w:val="00DA468A"/>
    <w:rsid w:val="00DA77A6"/>
    <w:rsid w:val="00DB1C39"/>
    <w:rsid w:val="00DB378A"/>
    <w:rsid w:val="00DB7FFE"/>
    <w:rsid w:val="00DC2F03"/>
    <w:rsid w:val="00DC4CEE"/>
    <w:rsid w:val="00DE5FA4"/>
    <w:rsid w:val="00DE657F"/>
    <w:rsid w:val="00DE6CEA"/>
    <w:rsid w:val="00DF1749"/>
    <w:rsid w:val="00E06638"/>
    <w:rsid w:val="00E221DC"/>
    <w:rsid w:val="00E2550B"/>
    <w:rsid w:val="00E26101"/>
    <w:rsid w:val="00E358D8"/>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2B7"/>
    <w:rsid w:val="00F67AC3"/>
    <w:rsid w:val="00F9113D"/>
    <w:rsid w:val="00FB059D"/>
    <w:rsid w:val="00FB6584"/>
    <w:rsid w:val="00FC04CF"/>
    <w:rsid w:val="00FC39FC"/>
    <w:rsid w:val="00FC6C9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EC0E-287A-46B0-AAC5-AD01DE45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166</cp:revision>
  <cp:lastPrinted>2019-10-22T09:29:00Z</cp:lastPrinted>
  <dcterms:created xsi:type="dcterms:W3CDTF">2019-11-07T10:13:00Z</dcterms:created>
  <dcterms:modified xsi:type="dcterms:W3CDTF">2020-11-03T08:59:00Z</dcterms:modified>
</cp:coreProperties>
</file>