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0F2F78"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B9228A" w:rsidRPr="00B9228A" w:rsidRDefault="00B9228A" w:rsidP="00B9228A">
                    <w:pPr>
                      <w:pStyle w:val="rvps2"/>
                      <w:jc w:val="center"/>
                      <w:rPr>
                        <w:b/>
                        <w:color w:val="000000"/>
                        <w:sz w:val="48"/>
                        <w:szCs w:val="48"/>
                      </w:rPr>
                    </w:pPr>
                    <w:r w:rsidRPr="00B9228A">
                      <w:rPr>
                        <w:b/>
                        <w:color w:val="000000"/>
                        <w:sz w:val="48"/>
                        <w:szCs w:val="48"/>
                      </w:rPr>
                      <w:t>Волинянам-декларантам пропонують</w:t>
                    </w:r>
                    <w:r w:rsidRPr="00B9228A">
                      <w:rPr>
                        <w:b/>
                        <w:color w:val="000000"/>
                        <w:sz w:val="48"/>
                        <w:szCs w:val="48"/>
                        <w:lang w:val="ru-RU"/>
                      </w:rPr>
                      <w:t xml:space="preserve"> </w:t>
                    </w:r>
                    <w:r w:rsidRPr="00B9228A">
                      <w:rPr>
                        <w:b/>
                        <w:color w:val="000000"/>
                        <w:sz w:val="48"/>
                        <w:szCs w:val="48"/>
                      </w:rPr>
                      <w:t>скористатися спеціальним електронним сервісом для подання декларації</w:t>
                    </w:r>
                  </w:p>
                  <w:p w:rsidR="002D5D6F" w:rsidRPr="00B9228A" w:rsidRDefault="002D5D6F" w:rsidP="009A1FA9">
                    <w:pPr>
                      <w:pStyle w:val="1"/>
                      <w:spacing w:before="0" w:beforeAutospacing="0" w:after="0" w:afterAutospacing="0"/>
                      <w:jc w:val="center"/>
                      <w:rPr>
                        <w:color w:val="17365D"/>
                        <w:sz w:val="60"/>
                        <w:szCs w:val="60"/>
                        <w:lang w:val="uk-UA"/>
                      </w:rPr>
                    </w:pP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655366" w:rsidP="00CC28BB">
                  <w:pPr>
                    <w:rPr>
                      <w:i/>
                      <w:sz w:val="16"/>
                    </w:rPr>
                  </w:pPr>
                  <w:r>
                    <w:rPr>
                      <w:i/>
                      <w:sz w:val="16"/>
                    </w:rPr>
                    <w:t>с</w:t>
                  </w:r>
                  <w:r w:rsidR="00B9228A">
                    <w:rPr>
                      <w:i/>
                      <w:sz w:val="16"/>
                    </w:rPr>
                    <w:t xml:space="preserve">ічень </w:t>
                  </w:r>
                  <w:r w:rsidR="00B00BA6">
                    <w:rPr>
                      <w:i/>
                      <w:sz w:val="16"/>
                    </w:rPr>
                    <w:t>202</w:t>
                  </w:r>
                  <w:r w:rsidR="00B9228A">
                    <w:rPr>
                      <w:i/>
                      <w:sz w:val="16"/>
                    </w:rPr>
                    <w:t>1</w:t>
                  </w:r>
                  <w:r w:rsidR="005506B3">
                    <w:rPr>
                      <w:i/>
                      <w:sz w:val="16"/>
                    </w:rPr>
                    <w:t xml:space="preserve"> року</w:t>
                  </w:r>
                </w:p>
                <w:p w:rsidR="001428D3" w:rsidRPr="00CC28BB" w:rsidRDefault="001428D3" w:rsidP="00CC28BB"/>
              </w:txbxContent>
            </v:textbox>
          </v:shape>
        </w:pict>
      </w:r>
    </w:p>
    <w:p w:rsidR="001428D3" w:rsidRDefault="000F2F78">
      <w:r>
        <w:rPr>
          <w:noProof/>
          <w:lang w:eastAsia="uk-UA"/>
        </w:rPr>
        <w:pict>
          <v:shape id="_x0000_s1313" type="#_x0000_t202" style="position:absolute;margin-left:-4.65pt;margin-top:9.7pt;width:364.55pt;height:400.65pt;z-index:21" strokecolor="white">
            <v:textbox style="mso-next-textbox:#_x0000_s1313">
              <w:txbxContent>
                <w:p w:rsidR="0054633B" w:rsidRPr="00087B52" w:rsidRDefault="0054633B" w:rsidP="0054633B">
                  <w:pPr>
                    <w:pStyle w:val="a6"/>
                    <w:numPr>
                      <w:ilvl w:val="0"/>
                      <w:numId w:val="31"/>
                    </w:numPr>
                    <w:spacing w:before="0" w:beforeAutospacing="0" w:after="0" w:afterAutospacing="0"/>
                    <w:ind w:left="426" w:hanging="284"/>
                    <w:jc w:val="both"/>
                    <w:rPr>
                      <w:sz w:val="28"/>
                      <w:szCs w:val="28"/>
                    </w:rPr>
                  </w:pPr>
                  <w:r w:rsidRPr="00087B52">
                    <w:rPr>
                      <w:sz w:val="28"/>
                      <w:szCs w:val="28"/>
                    </w:rPr>
                    <w:t xml:space="preserve">виключно від податкових агентів незалежно від виду та розміру нарахованого (виплаченого, наданого) доходу, крім випадків, прямо передбачених ІV розділом ПКУ; </w:t>
                  </w:r>
                </w:p>
                <w:p w:rsidR="0054633B" w:rsidRPr="00087B52" w:rsidRDefault="0054633B" w:rsidP="0054633B">
                  <w:pPr>
                    <w:pStyle w:val="a6"/>
                    <w:numPr>
                      <w:ilvl w:val="0"/>
                      <w:numId w:val="31"/>
                    </w:numPr>
                    <w:spacing w:before="0" w:beforeAutospacing="0" w:after="0" w:afterAutospacing="0"/>
                    <w:ind w:left="426" w:hanging="284"/>
                    <w:jc w:val="both"/>
                    <w:rPr>
                      <w:sz w:val="28"/>
                      <w:szCs w:val="28"/>
                    </w:rPr>
                  </w:pPr>
                  <w:r w:rsidRPr="00087B52">
                    <w:rPr>
                      <w:sz w:val="28"/>
                      <w:szCs w:val="28"/>
                    </w:rPr>
                    <w:t xml:space="preserve">від операцій продажу (обміну) майна, дарування, дохід від яких відповідно до розділу IV ПКУ не оподатковується, оподатковується за нульовою ставкою та/або з яких при нотаріальному посвідченні договорів був сплачений податок відповідно до розділу IV ПКУ; </w:t>
                  </w:r>
                </w:p>
                <w:p w:rsidR="0054633B" w:rsidRPr="00087B52" w:rsidRDefault="0054633B" w:rsidP="0054633B">
                  <w:pPr>
                    <w:pStyle w:val="a6"/>
                    <w:numPr>
                      <w:ilvl w:val="0"/>
                      <w:numId w:val="31"/>
                    </w:numPr>
                    <w:spacing w:before="0" w:beforeAutospacing="0" w:after="0" w:afterAutospacing="0"/>
                    <w:ind w:left="426" w:hanging="284"/>
                    <w:jc w:val="both"/>
                    <w:rPr>
                      <w:sz w:val="28"/>
                      <w:szCs w:val="28"/>
                    </w:rPr>
                  </w:pPr>
                  <w:r w:rsidRPr="00087B52">
                    <w:rPr>
                      <w:sz w:val="28"/>
                      <w:szCs w:val="28"/>
                    </w:rPr>
                    <w:t xml:space="preserve">у вигляді об'єктів спадщини, які оподатковуються за нульовою ставкою податку та/або з яких сплачено податок відповідно до п. 174.3 ст. 174 ПКУ. </w:t>
                  </w:r>
                </w:p>
                <w:p w:rsidR="0054633B" w:rsidRDefault="0054633B" w:rsidP="0054633B">
                  <w:pPr>
                    <w:pStyle w:val="a6"/>
                    <w:spacing w:before="0" w:beforeAutospacing="0" w:after="0" w:afterAutospacing="0"/>
                    <w:ind w:firstLine="426"/>
                    <w:jc w:val="both"/>
                    <w:rPr>
                      <w:sz w:val="28"/>
                      <w:szCs w:val="28"/>
                    </w:rPr>
                  </w:pPr>
                  <w:r w:rsidRPr="00087B52">
                    <w:rPr>
                      <w:sz w:val="28"/>
                      <w:szCs w:val="28"/>
                    </w:rPr>
                    <w:t>Від відповідального ставлення до вимог законодавства і своєчасного виконання конституційного обов’язку громадянами залежить економічний розвиток держави, її фінансова безпека та рівень соціального захисту.</w:t>
                  </w:r>
                </w:p>
                <w:p w:rsidR="0054633B" w:rsidRPr="00087B52" w:rsidRDefault="0054633B" w:rsidP="0054633B">
                  <w:pPr>
                    <w:pStyle w:val="a6"/>
                    <w:spacing w:before="0" w:beforeAutospacing="0" w:after="0" w:afterAutospacing="0"/>
                    <w:ind w:firstLine="426"/>
                    <w:jc w:val="both"/>
                    <w:rPr>
                      <w:sz w:val="28"/>
                      <w:szCs w:val="28"/>
                    </w:rPr>
                  </w:pPr>
                  <w:r>
                    <w:rPr>
                      <w:rStyle w:val="a8"/>
                      <w:sz w:val="28"/>
                      <w:szCs w:val="28"/>
                    </w:rPr>
                    <w:t xml:space="preserve"> </w:t>
                  </w:r>
                  <w:r w:rsidRPr="00087B52">
                    <w:rPr>
                      <w:rStyle w:val="a8"/>
                      <w:sz w:val="28"/>
                      <w:szCs w:val="28"/>
                    </w:rPr>
                    <w:t>Спілкуйся з Податковою службою дистанційно за допомогою сервісу «</w:t>
                  </w:r>
                  <w:proofErr w:type="spellStart"/>
                  <w:r w:rsidR="000F2F78">
                    <w:fldChar w:fldCharType="begin"/>
                  </w:r>
                  <w:r w:rsidR="000F2F78">
                    <w:instrText xml:space="preserve"> HYPERLINK "https://t.me/infoTAXbot" \t "_blank" </w:instrText>
                  </w:r>
                  <w:r w:rsidR="000F2F78">
                    <w:fldChar w:fldCharType="separate"/>
                  </w:r>
                  <w:r w:rsidRPr="00087B52">
                    <w:rPr>
                      <w:rStyle w:val="a5"/>
                      <w:b/>
                      <w:bCs/>
                      <w:sz w:val="28"/>
                      <w:szCs w:val="28"/>
                    </w:rPr>
                    <w:t>InfoTAX</w:t>
                  </w:r>
                  <w:proofErr w:type="spellEnd"/>
                  <w:r w:rsidR="000F2F78">
                    <w:rPr>
                      <w:rStyle w:val="a5"/>
                      <w:b/>
                      <w:bCs/>
                      <w:sz w:val="28"/>
                      <w:szCs w:val="28"/>
                    </w:rPr>
                    <w:fldChar w:fldCharType="end"/>
                  </w:r>
                  <w:r w:rsidRPr="00087B52">
                    <w:rPr>
                      <w:rStyle w:val="a8"/>
                      <w:sz w:val="28"/>
                      <w:szCs w:val="28"/>
                    </w:rPr>
                    <w:t>»</w:t>
                  </w:r>
                  <w:r w:rsidRPr="00087B52">
                    <w:rPr>
                      <w:sz w:val="28"/>
                      <w:szCs w:val="28"/>
                    </w:rPr>
                    <w:t xml:space="preserve"> </w:t>
                  </w:r>
                </w:p>
                <w:p w:rsidR="00C303DD" w:rsidRDefault="00C303DD" w:rsidP="000955E8">
                  <w:pPr>
                    <w:shd w:val="clear" w:color="auto" w:fill="FFFFFF"/>
                  </w:pP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0F2F78">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7D2224" w:rsidRPr="00FE0531" w:rsidRDefault="007D2224" w:rsidP="007D2224">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7D2224" w:rsidRPr="00FE0531" w:rsidRDefault="007D2224" w:rsidP="007D2224">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7D2224" w:rsidRPr="00FE0531" w:rsidRDefault="007D2224" w:rsidP="007D2224">
                  <w:pPr>
                    <w:pStyle w:val="a6"/>
                    <w:spacing w:before="0" w:beforeAutospacing="0" w:after="0" w:afterAutospacing="0"/>
                    <w:rPr>
                      <w:spacing w:val="-4"/>
                      <w:sz w:val="18"/>
                      <w:szCs w:val="18"/>
                      <w:lang w:val="ru-RU"/>
                    </w:rPr>
                  </w:pPr>
                  <w:r w:rsidRPr="00FE0531">
                    <w:rPr>
                      <w:rStyle w:val="a8"/>
                      <w:spacing w:val="-4"/>
                      <w:sz w:val="18"/>
                      <w:szCs w:val="18"/>
                    </w:rPr>
                    <w:t xml:space="preserve"> "Пульс": </w:t>
                  </w:r>
                  <w:r w:rsidRPr="000F2F78">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0F2F78">
      <w:r>
        <w:rPr>
          <w:noProof/>
          <w:lang w:eastAsia="uk-UA"/>
        </w:rPr>
        <w:pict>
          <v:oval id="_x0000_s1296" style="position:absolute;margin-left:159.65pt;margin-top:34.1pt;width:23.25pt;height:23.45pt;z-index:16" fillcolor="#8db3e2">
            <v:textbox style="mso-next-textbox:#_x0000_s1296">
              <w:txbxContent>
                <w:p w:rsidR="004A3DA8" w:rsidRPr="00F67AC3" w:rsidRDefault="00B13059" w:rsidP="004A3DA8">
                  <w:pPr>
                    <w:rPr>
                      <w:u w:val="single"/>
                    </w:rPr>
                  </w:pPr>
                  <w:r>
                    <w:rPr>
                      <w:u w:val="single"/>
                    </w:rPr>
                    <w:t>4</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0F2F78">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0F2F78">
      <w:r>
        <w:rPr>
          <w:noProof/>
          <w:lang w:eastAsia="uk-UA"/>
        </w:rPr>
        <w:pict>
          <v:shape id="_x0000_s1310" type="#_x0000_t202" style="position:absolute;margin-left:409.95pt;margin-top:3.75pt;width:366.4pt;height:481.15pt;z-index:20" strokecolor="white">
            <v:textbox>
              <w:txbxContent>
                <w:p w:rsidR="00E37F60" w:rsidRPr="00B31D2F" w:rsidRDefault="0054633B" w:rsidP="003C6718">
                  <w:pPr>
                    <w:pStyle w:val="a6"/>
                    <w:spacing w:before="0" w:beforeAutospacing="0" w:after="0" w:afterAutospacing="0"/>
                    <w:jc w:val="both"/>
                    <w:rPr>
                      <w:sz w:val="28"/>
                      <w:szCs w:val="28"/>
                    </w:rPr>
                  </w:pPr>
                  <w:r>
                    <w:rPr>
                      <w:sz w:val="28"/>
                      <w:szCs w:val="28"/>
                    </w:rPr>
                    <w:t xml:space="preserve">01 травня року, </w:t>
                  </w:r>
                  <w:r w:rsidR="00E37F60" w:rsidRPr="00B31D2F">
                    <w:rPr>
                      <w:sz w:val="28"/>
                      <w:szCs w:val="28"/>
                    </w:rPr>
                    <w:t>що настає за звітним.</w:t>
                  </w:r>
                  <w:r w:rsidR="003C6718">
                    <w:rPr>
                      <w:sz w:val="28"/>
                      <w:szCs w:val="28"/>
                    </w:rPr>
                    <w:t xml:space="preserve"> </w:t>
                  </w:r>
                  <w:r w:rsidR="00E37F60" w:rsidRPr="00B31D2F">
                    <w:rPr>
                      <w:b/>
                      <w:sz w:val="28"/>
                      <w:szCs w:val="28"/>
                    </w:rPr>
                    <w:t xml:space="preserve">Останній день </w:t>
                  </w:r>
                  <w:r>
                    <w:rPr>
                      <w:b/>
                      <w:sz w:val="28"/>
                      <w:szCs w:val="28"/>
                    </w:rPr>
                    <w:t xml:space="preserve">         </w:t>
                  </w:r>
                  <w:r w:rsidR="00E37F60" w:rsidRPr="00B31D2F">
                    <w:rPr>
                      <w:b/>
                      <w:sz w:val="28"/>
                      <w:szCs w:val="28"/>
                    </w:rPr>
                    <w:t>– 30.04.2021</w:t>
                  </w:r>
                  <w:r w:rsidR="00E37F60" w:rsidRPr="00B31D2F">
                    <w:rPr>
                      <w:sz w:val="28"/>
                      <w:szCs w:val="28"/>
                    </w:rPr>
                    <w:t xml:space="preserve">; </w:t>
                  </w:r>
                </w:p>
                <w:p w:rsidR="00E37F60" w:rsidRPr="00B31D2F" w:rsidRDefault="00E37F60" w:rsidP="0054633B">
                  <w:pPr>
                    <w:pStyle w:val="a6"/>
                    <w:numPr>
                      <w:ilvl w:val="0"/>
                      <w:numId w:val="34"/>
                    </w:numPr>
                    <w:spacing w:before="0" w:beforeAutospacing="0" w:after="0" w:afterAutospacing="0"/>
                    <w:ind w:left="0" w:firstLine="284"/>
                    <w:jc w:val="both"/>
                    <w:rPr>
                      <w:sz w:val="28"/>
                      <w:szCs w:val="28"/>
                    </w:rPr>
                  </w:pPr>
                  <w:r w:rsidRPr="00B31D2F">
                    <w:rPr>
                      <w:sz w:val="28"/>
                      <w:szCs w:val="28"/>
                    </w:rPr>
                    <w:t xml:space="preserve">для фізичних осіб, які декларують право на податкову знижку – по 31 грудня включно наступного за звітним роком. </w:t>
                  </w:r>
                  <w:r w:rsidRPr="00B31D2F">
                    <w:rPr>
                      <w:b/>
                      <w:sz w:val="28"/>
                      <w:szCs w:val="28"/>
                    </w:rPr>
                    <w:t>Останній день – 31.12.2021</w:t>
                  </w:r>
                  <w:r w:rsidRPr="00B31D2F">
                    <w:rPr>
                      <w:sz w:val="28"/>
                      <w:szCs w:val="28"/>
                    </w:rPr>
                    <w:t xml:space="preserve">. </w:t>
                  </w:r>
                </w:p>
                <w:p w:rsidR="00E37F60" w:rsidRPr="00B31D2F" w:rsidRDefault="00E37F60" w:rsidP="00B31D2F">
                  <w:pPr>
                    <w:pStyle w:val="a6"/>
                    <w:spacing w:before="0" w:beforeAutospacing="0" w:after="0" w:afterAutospacing="0"/>
                    <w:ind w:firstLine="708"/>
                    <w:jc w:val="both"/>
                    <w:rPr>
                      <w:b/>
                      <w:i/>
                      <w:sz w:val="28"/>
                      <w:szCs w:val="28"/>
                    </w:rPr>
                  </w:pPr>
                  <w:r w:rsidRPr="00B31D2F">
                    <w:rPr>
                      <w:b/>
                      <w:i/>
                      <w:sz w:val="28"/>
                      <w:szCs w:val="28"/>
                    </w:rPr>
                    <w:t xml:space="preserve">Нагадуємо, що обов’язок щодо подання декларації у платників податків виникає: </w:t>
                  </w:r>
                </w:p>
                <w:p w:rsidR="00B73CC6" w:rsidRPr="00985D12" w:rsidRDefault="00E37F60" w:rsidP="0054633B">
                  <w:pPr>
                    <w:numPr>
                      <w:ilvl w:val="0"/>
                      <w:numId w:val="29"/>
                    </w:numPr>
                    <w:spacing w:after="0" w:line="240" w:lineRule="auto"/>
                    <w:ind w:left="0" w:firstLine="284"/>
                    <w:jc w:val="both"/>
                    <w:rPr>
                      <w:rFonts w:ascii="Times New Roman" w:hAnsi="Times New Roman"/>
                      <w:sz w:val="28"/>
                      <w:szCs w:val="28"/>
                    </w:rPr>
                  </w:pPr>
                  <w:r w:rsidRPr="00985D12">
                    <w:rPr>
                      <w:rFonts w:ascii="Times New Roman" w:hAnsi="Times New Roman"/>
                      <w:sz w:val="28"/>
                      <w:szCs w:val="28"/>
                    </w:rPr>
                    <w:t xml:space="preserve">при отриманні доходів не від податкових агентів (тобто від інших фізичних осіб, які не зареєстровані як </w:t>
                  </w:r>
                  <w:proofErr w:type="spellStart"/>
                  <w:r w:rsidRPr="00985D12">
                    <w:rPr>
                      <w:rFonts w:ascii="Times New Roman" w:hAnsi="Times New Roman"/>
                      <w:sz w:val="28"/>
                      <w:szCs w:val="28"/>
                    </w:rPr>
                    <w:t>самозайняті</w:t>
                  </w:r>
                  <w:proofErr w:type="spellEnd"/>
                  <w:r w:rsidRPr="00985D12">
                    <w:rPr>
                      <w:rFonts w:ascii="Times New Roman" w:hAnsi="Times New Roman"/>
                      <w:sz w:val="28"/>
                      <w:szCs w:val="28"/>
                    </w:rPr>
                    <w:t xml:space="preserve"> особи). До таких доходів відносяться, зокрема, доходи від надання в оренду рухомого або нерухомого майна іншим фізичним особам; успадкування чи отримання в дарунок майна не від членів сім’ї першого та другого ступеня споріднення тощо;</w:t>
                  </w:r>
                </w:p>
                <w:p w:rsidR="00E37F60" w:rsidRPr="00985D12" w:rsidRDefault="00E37F60" w:rsidP="0054633B">
                  <w:pPr>
                    <w:pStyle w:val="a6"/>
                    <w:numPr>
                      <w:ilvl w:val="0"/>
                      <w:numId w:val="29"/>
                    </w:numPr>
                    <w:spacing w:before="0" w:beforeAutospacing="0" w:after="0" w:afterAutospacing="0"/>
                    <w:ind w:left="0" w:firstLine="284"/>
                    <w:jc w:val="both"/>
                    <w:rPr>
                      <w:sz w:val="28"/>
                      <w:szCs w:val="28"/>
                    </w:rPr>
                  </w:pPr>
                  <w:r w:rsidRPr="00985D12">
                    <w:rPr>
                      <w:sz w:val="28"/>
                      <w:szCs w:val="28"/>
                    </w:rPr>
                    <w:t xml:space="preserve">при отриманні від податкових агентів доходів, які не підлягали оподаткуванню при виплаті, але які не звільнені від оподаткування. До таких доходів відносяться, зокрема, операції з інвестиційними активами; </w:t>
                  </w:r>
                </w:p>
                <w:p w:rsidR="00E37F60" w:rsidRPr="00985D12" w:rsidRDefault="00E37F60" w:rsidP="0054633B">
                  <w:pPr>
                    <w:pStyle w:val="a6"/>
                    <w:numPr>
                      <w:ilvl w:val="0"/>
                      <w:numId w:val="29"/>
                    </w:numPr>
                    <w:spacing w:before="0" w:beforeAutospacing="0" w:after="0" w:afterAutospacing="0"/>
                    <w:ind w:left="0" w:firstLine="284"/>
                    <w:jc w:val="both"/>
                    <w:rPr>
                      <w:sz w:val="28"/>
                      <w:szCs w:val="28"/>
                    </w:rPr>
                  </w:pPr>
                  <w:r w:rsidRPr="00985D12">
                    <w:rPr>
                      <w:sz w:val="28"/>
                      <w:szCs w:val="28"/>
                    </w:rPr>
                    <w:t xml:space="preserve">при отриманні іноземних доходів; </w:t>
                  </w:r>
                </w:p>
                <w:p w:rsidR="00985D12" w:rsidRDefault="00E37F60" w:rsidP="0054633B">
                  <w:pPr>
                    <w:pStyle w:val="a6"/>
                    <w:numPr>
                      <w:ilvl w:val="0"/>
                      <w:numId w:val="29"/>
                    </w:numPr>
                    <w:spacing w:before="0" w:beforeAutospacing="0" w:after="0" w:afterAutospacing="0"/>
                    <w:ind w:left="0" w:firstLine="284"/>
                    <w:jc w:val="both"/>
                    <w:rPr>
                      <w:sz w:val="28"/>
                      <w:szCs w:val="28"/>
                    </w:rPr>
                  </w:pPr>
                  <w:r w:rsidRPr="00985D12">
                    <w:rPr>
                      <w:sz w:val="28"/>
                      <w:szCs w:val="28"/>
                    </w:rPr>
                    <w:t xml:space="preserve">та в інших випадках передбачених законодавством, </w:t>
                  </w:r>
                  <w:r w:rsidR="00985D12" w:rsidRPr="00985D12">
                    <w:rPr>
                      <w:sz w:val="28"/>
                      <w:szCs w:val="28"/>
                    </w:rPr>
                    <w:t xml:space="preserve">зокрема, при отриманні у власність майна за рішенням суду. </w:t>
                  </w:r>
                </w:p>
                <w:p w:rsidR="0054633B" w:rsidRDefault="0054633B" w:rsidP="0054633B">
                  <w:pPr>
                    <w:pStyle w:val="a6"/>
                    <w:spacing w:before="0" w:beforeAutospacing="0" w:after="0" w:afterAutospacing="0"/>
                    <w:jc w:val="both"/>
                    <w:rPr>
                      <w:sz w:val="28"/>
                      <w:szCs w:val="28"/>
                    </w:rPr>
                  </w:pPr>
                  <w:r>
                    <w:rPr>
                      <w:sz w:val="28"/>
                      <w:szCs w:val="28"/>
                    </w:rPr>
                    <w:t xml:space="preserve">         </w:t>
                  </w:r>
                  <w:r w:rsidRPr="00087B52">
                    <w:rPr>
                      <w:sz w:val="28"/>
                      <w:szCs w:val="28"/>
                    </w:rPr>
                    <w:t xml:space="preserve">Разом з тим, слід зазначити, що обов'язок платника податку щодо подання податкової декларації вважається виконаним і </w:t>
                  </w:r>
                  <w:r w:rsidRPr="000F2F78">
                    <w:rPr>
                      <w:b/>
                      <w:sz w:val="28"/>
                      <w:szCs w:val="28"/>
                    </w:rPr>
                    <w:t>податкова</w:t>
                  </w:r>
                  <w:r w:rsidRPr="00087B52">
                    <w:rPr>
                      <w:sz w:val="28"/>
                      <w:szCs w:val="28"/>
                    </w:rPr>
                    <w:t xml:space="preserve"> </w:t>
                  </w:r>
                  <w:r w:rsidRPr="00087B52">
                    <w:rPr>
                      <w:b/>
                      <w:sz w:val="28"/>
                      <w:szCs w:val="28"/>
                    </w:rPr>
                    <w:t>декларація не подається, якщо такий платник податку отриму</w:t>
                  </w:r>
                  <w:bookmarkStart w:id="0" w:name="_GoBack"/>
                  <w:bookmarkEnd w:id="0"/>
                  <w:r w:rsidRPr="00087B52">
                    <w:rPr>
                      <w:b/>
                      <w:sz w:val="28"/>
                      <w:szCs w:val="28"/>
                    </w:rPr>
                    <w:t>вав доходи виключно:</w:t>
                  </w:r>
                  <w:r w:rsidRPr="00087B52">
                    <w:rPr>
                      <w:sz w:val="28"/>
                      <w:szCs w:val="28"/>
                    </w:rPr>
                    <w:t xml:space="preserve"> </w:t>
                  </w:r>
                </w:p>
                <w:p w:rsidR="0054633B" w:rsidRPr="00087B52" w:rsidRDefault="0054633B" w:rsidP="0054633B">
                  <w:pPr>
                    <w:pStyle w:val="a6"/>
                    <w:numPr>
                      <w:ilvl w:val="0"/>
                      <w:numId w:val="31"/>
                    </w:numPr>
                    <w:spacing w:before="0" w:beforeAutospacing="0" w:after="0" w:afterAutospacing="0"/>
                    <w:ind w:left="426" w:hanging="284"/>
                    <w:jc w:val="both"/>
                    <w:rPr>
                      <w:sz w:val="28"/>
                      <w:szCs w:val="28"/>
                    </w:rPr>
                  </w:pPr>
                  <w:r w:rsidRPr="00087B52">
                    <w:rPr>
                      <w:sz w:val="28"/>
                      <w:szCs w:val="28"/>
                    </w:rPr>
                    <w:t>від податкових агентів, які не включаються</w:t>
                  </w:r>
                  <w:r>
                    <w:rPr>
                      <w:sz w:val="28"/>
                      <w:szCs w:val="28"/>
                    </w:rPr>
                    <w:t xml:space="preserve"> </w:t>
                  </w:r>
                  <w:r w:rsidRPr="00087B52">
                    <w:rPr>
                      <w:sz w:val="28"/>
                      <w:szCs w:val="28"/>
                    </w:rPr>
                    <w:t xml:space="preserve">до загального місячного (річного) оподатковуваного доходу; </w:t>
                  </w:r>
                </w:p>
                <w:p w:rsidR="0054633B" w:rsidRPr="00087B52" w:rsidRDefault="0054633B" w:rsidP="0054633B">
                  <w:pPr>
                    <w:pStyle w:val="a6"/>
                    <w:spacing w:before="0" w:beforeAutospacing="0" w:after="0" w:afterAutospacing="0"/>
                    <w:ind w:firstLine="708"/>
                    <w:jc w:val="both"/>
                    <w:rPr>
                      <w:sz w:val="28"/>
                      <w:szCs w:val="28"/>
                    </w:rPr>
                  </w:pPr>
                </w:p>
                <w:p w:rsidR="0054633B" w:rsidRPr="00985D12" w:rsidRDefault="0054633B" w:rsidP="0054633B">
                  <w:pPr>
                    <w:pStyle w:val="a6"/>
                    <w:spacing w:before="0" w:beforeAutospacing="0" w:after="0" w:afterAutospacing="0"/>
                    <w:jc w:val="both"/>
                    <w:rPr>
                      <w:sz w:val="28"/>
                      <w:szCs w:val="28"/>
                    </w:rPr>
                  </w:pPr>
                </w:p>
                <w:p w:rsidR="00E37F60" w:rsidRPr="00B31D2F" w:rsidRDefault="00E37F60" w:rsidP="00B31D2F">
                  <w:pPr>
                    <w:pStyle w:val="a6"/>
                    <w:spacing w:before="0" w:beforeAutospacing="0" w:after="0" w:afterAutospacing="0"/>
                    <w:jc w:val="both"/>
                    <w:rPr>
                      <w:b/>
                      <w:sz w:val="28"/>
                      <w:szCs w:val="28"/>
                    </w:rPr>
                  </w:pPr>
                </w:p>
              </w:txbxContent>
            </v:textbox>
          </v:shape>
        </w:pict>
      </w:r>
      <w:r>
        <w:rPr>
          <w:noProof/>
          <w:lang w:eastAsia="uk-UA"/>
        </w:rPr>
        <w:pict>
          <v:shape id="_x0000_s1309" type="#_x0000_t202" style="position:absolute;margin-left:-8.05pt;margin-top:3.75pt;width:369.3pt;height:481.15pt;z-index:19" strokecolor="white">
            <v:textbox>
              <w:txbxContent>
                <w:p w:rsidR="00E37F60" w:rsidRPr="00B31D2F" w:rsidRDefault="00E37F60" w:rsidP="00B31D2F">
                  <w:pPr>
                    <w:pStyle w:val="a6"/>
                    <w:spacing w:before="0" w:beforeAutospacing="0" w:after="0" w:afterAutospacing="0"/>
                    <w:ind w:firstLine="708"/>
                    <w:jc w:val="both"/>
                    <w:rPr>
                      <w:sz w:val="28"/>
                      <w:szCs w:val="28"/>
                      <w:lang w:val="ru-RU"/>
                    </w:rPr>
                  </w:pPr>
                  <w:r w:rsidRPr="00B31D2F">
                    <w:rPr>
                      <w:sz w:val="28"/>
                      <w:szCs w:val="28"/>
                    </w:rPr>
                    <w:t xml:space="preserve">На офіційному </w:t>
                  </w:r>
                  <w:proofErr w:type="spellStart"/>
                  <w:r w:rsidRPr="00B31D2F">
                    <w:rPr>
                      <w:sz w:val="28"/>
                      <w:szCs w:val="28"/>
                    </w:rPr>
                    <w:t>вебпорталі</w:t>
                  </w:r>
                  <w:proofErr w:type="spellEnd"/>
                  <w:r w:rsidRPr="00B31D2F">
                    <w:rPr>
                      <w:sz w:val="28"/>
                      <w:szCs w:val="28"/>
                    </w:rPr>
                    <w:t xml:space="preserve"> ДПС в </w:t>
                  </w:r>
                  <w:hyperlink r:id="rId8" w:history="1">
                    <w:r w:rsidRPr="00B31D2F">
                      <w:rPr>
                        <w:rStyle w:val="a5"/>
                        <w:sz w:val="28"/>
                        <w:szCs w:val="28"/>
                      </w:rPr>
                      <w:t>Електронному кабінеті</w:t>
                    </w:r>
                  </w:hyperlink>
                  <w:r w:rsidRPr="00B31D2F">
                    <w:rPr>
                      <w:sz w:val="28"/>
                      <w:szCs w:val="28"/>
                    </w:rPr>
                    <w:t xml:space="preserve"> у розділі «ЕК для громадян» працює електронний сервіс «Декларація про майновий стан і доходи», - звертають увагу декларантів у Головному правлінні ДПС у Волинській області.</w:t>
                  </w:r>
                </w:p>
                <w:p w:rsidR="00E37F60" w:rsidRPr="00B31D2F" w:rsidRDefault="00E37F60" w:rsidP="00B31D2F">
                  <w:pPr>
                    <w:pStyle w:val="a6"/>
                    <w:spacing w:before="0" w:beforeAutospacing="0" w:after="0" w:afterAutospacing="0"/>
                    <w:ind w:firstLine="708"/>
                    <w:jc w:val="both"/>
                    <w:rPr>
                      <w:sz w:val="28"/>
                      <w:szCs w:val="28"/>
                    </w:rPr>
                  </w:pPr>
                  <w:r w:rsidRPr="00B31D2F">
                    <w:rPr>
                      <w:sz w:val="28"/>
                      <w:szCs w:val="28"/>
                    </w:rPr>
                    <w:t xml:space="preserve">За допомогою цього сервісу можна заповнити декларацію та надіслати її до контролюючого органу в електронному вигляді з копіями первинних документів, зокрема, для використання права на податкову знижку. </w:t>
                  </w:r>
                </w:p>
                <w:p w:rsidR="00E37F60" w:rsidRPr="00B31D2F" w:rsidRDefault="00E37F60" w:rsidP="00B31D2F">
                  <w:pPr>
                    <w:pStyle w:val="rvps2"/>
                    <w:spacing w:before="0" w:beforeAutospacing="0" w:after="0" w:afterAutospacing="0"/>
                    <w:ind w:firstLine="708"/>
                    <w:jc w:val="both"/>
                    <w:rPr>
                      <w:sz w:val="28"/>
                      <w:szCs w:val="28"/>
                    </w:rPr>
                  </w:pPr>
                  <w:r w:rsidRPr="00B31D2F">
                    <w:rPr>
                      <w:sz w:val="28"/>
                      <w:szCs w:val="28"/>
                    </w:rPr>
                    <w:t xml:space="preserve">Нагадаємо, що подавати декларацію про майновий стан і доходи за минулий рік – конституційний обов’язок громадян (ч. 2 ст. 67 Конституції України). </w:t>
                  </w:r>
                </w:p>
                <w:p w:rsidR="00E37F60" w:rsidRPr="00B31D2F" w:rsidRDefault="00E37F60" w:rsidP="00B31D2F">
                  <w:pPr>
                    <w:pStyle w:val="rvps2"/>
                    <w:spacing w:before="0" w:beforeAutospacing="0" w:after="0" w:afterAutospacing="0"/>
                    <w:ind w:firstLine="708"/>
                    <w:jc w:val="both"/>
                    <w:rPr>
                      <w:sz w:val="28"/>
                      <w:szCs w:val="28"/>
                    </w:rPr>
                  </w:pPr>
                  <w:r w:rsidRPr="00B31D2F">
                    <w:rPr>
                      <w:sz w:val="28"/>
                      <w:szCs w:val="28"/>
                    </w:rPr>
                    <w:t xml:space="preserve">З початку 2021 року стартувала кампанія декларування громадянами доходів, одержаних протягом 2020 року. </w:t>
                  </w:r>
                </w:p>
                <w:p w:rsidR="00E37F60" w:rsidRPr="00B31D2F" w:rsidRDefault="00E37F60" w:rsidP="00B31D2F">
                  <w:pPr>
                    <w:pStyle w:val="a6"/>
                    <w:spacing w:before="0" w:beforeAutospacing="0" w:after="0" w:afterAutospacing="0"/>
                    <w:ind w:firstLine="708"/>
                    <w:jc w:val="both"/>
                    <w:rPr>
                      <w:sz w:val="28"/>
                      <w:szCs w:val="28"/>
                    </w:rPr>
                  </w:pPr>
                  <w:r w:rsidRPr="00B31D2F">
                    <w:rPr>
                      <w:sz w:val="28"/>
                      <w:szCs w:val="28"/>
                    </w:rPr>
                    <w:t xml:space="preserve">За вибором платника податків декларація подається за місцем своєї податкової адреси особисто або уповноваженою на це особою; поштою або засобами електронного зв’язку. </w:t>
                  </w:r>
                </w:p>
                <w:p w:rsidR="00E37F60" w:rsidRPr="00BB6C2B" w:rsidRDefault="00E37F60" w:rsidP="00EC58A1">
                  <w:pPr>
                    <w:pStyle w:val="a6"/>
                    <w:spacing w:before="0" w:beforeAutospacing="0" w:after="0" w:afterAutospacing="0"/>
                    <w:ind w:firstLine="708"/>
                    <w:jc w:val="center"/>
                    <w:rPr>
                      <w:b/>
                      <w:i/>
                      <w:sz w:val="28"/>
                      <w:szCs w:val="28"/>
                    </w:rPr>
                  </w:pPr>
                  <w:r w:rsidRPr="00BB6C2B">
                    <w:rPr>
                      <w:b/>
                      <w:i/>
                      <w:sz w:val="28"/>
                      <w:szCs w:val="28"/>
                    </w:rPr>
                    <w:t>Граничні строки подання декларації за звітний (податковий) 2020 рік:</w:t>
                  </w:r>
                </w:p>
                <w:p w:rsidR="006E7D31" w:rsidRDefault="00E37F60" w:rsidP="0054633B">
                  <w:pPr>
                    <w:pStyle w:val="a6"/>
                    <w:numPr>
                      <w:ilvl w:val="0"/>
                      <w:numId w:val="33"/>
                    </w:numPr>
                    <w:spacing w:before="0" w:beforeAutospacing="0" w:after="0" w:afterAutospacing="0"/>
                    <w:ind w:left="0" w:firstLine="142"/>
                    <w:jc w:val="both"/>
                    <w:rPr>
                      <w:sz w:val="28"/>
                      <w:szCs w:val="28"/>
                    </w:rPr>
                  </w:pPr>
                  <w:r w:rsidRPr="00B31D2F">
                    <w:rPr>
                      <w:sz w:val="28"/>
                      <w:szCs w:val="28"/>
                    </w:rPr>
                    <w:t>для фізичних осіб – підприємців, які здійснюють підприємницьку діяльність на загальній системі оподаткування, – протягом 40 календарних днів, що настають за останнім календарним днем звітного</w:t>
                  </w:r>
                  <w:r w:rsidR="006E7D31">
                    <w:rPr>
                      <w:sz w:val="28"/>
                      <w:szCs w:val="28"/>
                    </w:rPr>
                    <w:t xml:space="preserve"> </w:t>
                  </w:r>
                  <w:r w:rsidR="006E7D31" w:rsidRPr="0083138E">
                    <w:rPr>
                      <w:sz w:val="28"/>
                      <w:szCs w:val="28"/>
                    </w:rPr>
                    <w:t xml:space="preserve"> </w:t>
                  </w:r>
                  <w:r w:rsidR="006E7D31" w:rsidRPr="00B31D2F">
                    <w:rPr>
                      <w:sz w:val="28"/>
                      <w:szCs w:val="28"/>
                    </w:rPr>
                    <w:t xml:space="preserve">(податкового) року. </w:t>
                  </w:r>
                  <w:r w:rsidR="006E7D31" w:rsidRPr="00B31D2F">
                    <w:rPr>
                      <w:b/>
                      <w:sz w:val="28"/>
                      <w:szCs w:val="28"/>
                    </w:rPr>
                    <w:t>Останній день – 09.02.2021</w:t>
                  </w:r>
                  <w:r w:rsidR="006E7D31" w:rsidRPr="00B31D2F">
                    <w:rPr>
                      <w:sz w:val="28"/>
                      <w:szCs w:val="28"/>
                    </w:rPr>
                    <w:t xml:space="preserve">; </w:t>
                  </w:r>
                </w:p>
                <w:p w:rsidR="00C02C8B" w:rsidRPr="006E7D31" w:rsidRDefault="006E7D31" w:rsidP="00286795">
                  <w:pPr>
                    <w:pStyle w:val="a6"/>
                    <w:numPr>
                      <w:ilvl w:val="0"/>
                      <w:numId w:val="33"/>
                    </w:numPr>
                    <w:spacing w:before="0" w:beforeAutospacing="0" w:after="0" w:afterAutospacing="0"/>
                    <w:ind w:left="0" w:firstLine="142"/>
                    <w:jc w:val="both"/>
                    <w:rPr>
                      <w:b/>
                      <w:sz w:val="28"/>
                      <w:szCs w:val="28"/>
                    </w:rPr>
                  </w:pPr>
                  <w:r w:rsidRPr="0054633B">
                    <w:rPr>
                      <w:sz w:val="28"/>
                      <w:szCs w:val="28"/>
                    </w:rPr>
                    <w:t>для громадян, які відповідно до норм розділу IV ПКУ зобов’язані подавати декларацію, та осіб, які провадять незале</w:t>
                  </w:r>
                  <w:r w:rsidR="00D36D77">
                    <w:rPr>
                      <w:sz w:val="28"/>
                      <w:szCs w:val="28"/>
                    </w:rPr>
                    <w:t>жну професійну діяльність, – до</w:t>
                  </w:r>
                  <w:r w:rsidR="00D36D77" w:rsidRPr="00D36D77">
                    <w:rPr>
                      <w:sz w:val="28"/>
                      <w:szCs w:val="28"/>
                      <w:lang w:val="ru-RU"/>
                    </w:rPr>
                    <w:t xml:space="preserve">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0F2F78">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DC4CEE"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A95BE"/>
    <w:lvl w:ilvl="0">
      <w:start w:val="1"/>
      <w:numFmt w:val="decimal"/>
      <w:lvlText w:val="%1."/>
      <w:lvlJc w:val="left"/>
      <w:pPr>
        <w:tabs>
          <w:tab w:val="num" w:pos="1492"/>
        </w:tabs>
        <w:ind w:left="1492" w:hanging="360"/>
      </w:pPr>
    </w:lvl>
  </w:abstractNum>
  <w:abstractNum w:abstractNumId="1">
    <w:nsid w:val="FFFFFF7D"/>
    <w:multiLevelType w:val="singleLevel"/>
    <w:tmpl w:val="FB06B976"/>
    <w:lvl w:ilvl="0">
      <w:start w:val="1"/>
      <w:numFmt w:val="decimal"/>
      <w:lvlText w:val="%1."/>
      <w:lvlJc w:val="left"/>
      <w:pPr>
        <w:tabs>
          <w:tab w:val="num" w:pos="1209"/>
        </w:tabs>
        <w:ind w:left="1209" w:hanging="360"/>
      </w:pPr>
    </w:lvl>
  </w:abstractNum>
  <w:abstractNum w:abstractNumId="2">
    <w:nsid w:val="FFFFFF7E"/>
    <w:multiLevelType w:val="singleLevel"/>
    <w:tmpl w:val="A35A6166"/>
    <w:lvl w:ilvl="0">
      <w:start w:val="1"/>
      <w:numFmt w:val="decimal"/>
      <w:lvlText w:val="%1."/>
      <w:lvlJc w:val="left"/>
      <w:pPr>
        <w:tabs>
          <w:tab w:val="num" w:pos="926"/>
        </w:tabs>
        <w:ind w:left="926" w:hanging="360"/>
      </w:pPr>
    </w:lvl>
  </w:abstractNum>
  <w:abstractNum w:abstractNumId="3">
    <w:nsid w:val="FFFFFF7F"/>
    <w:multiLevelType w:val="singleLevel"/>
    <w:tmpl w:val="565EBA46"/>
    <w:lvl w:ilvl="0">
      <w:start w:val="1"/>
      <w:numFmt w:val="decimal"/>
      <w:lvlText w:val="%1."/>
      <w:lvlJc w:val="left"/>
      <w:pPr>
        <w:tabs>
          <w:tab w:val="num" w:pos="643"/>
        </w:tabs>
        <w:ind w:left="643" w:hanging="360"/>
      </w:pPr>
    </w:lvl>
  </w:abstractNum>
  <w:abstractNum w:abstractNumId="4">
    <w:nsid w:val="FFFFFF80"/>
    <w:multiLevelType w:val="singleLevel"/>
    <w:tmpl w:val="4178F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129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32D8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E7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96A408"/>
    <w:lvl w:ilvl="0">
      <w:start w:val="1"/>
      <w:numFmt w:val="decimal"/>
      <w:lvlText w:val="%1."/>
      <w:lvlJc w:val="left"/>
      <w:pPr>
        <w:tabs>
          <w:tab w:val="num" w:pos="360"/>
        </w:tabs>
        <w:ind w:left="360" w:hanging="360"/>
      </w:pPr>
    </w:lvl>
  </w:abstractNum>
  <w:abstractNum w:abstractNumId="9">
    <w:nsid w:val="FFFFFF89"/>
    <w:multiLevelType w:val="singleLevel"/>
    <w:tmpl w:val="9042E0C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324289B"/>
    <w:multiLevelType w:val="hybridMultilevel"/>
    <w:tmpl w:val="0F1CE5E0"/>
    <w:lvl w:ilvl="0" w:tplc="C18CB16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607A03"/>
    <w:multiLevelType w:val="hybridMultilevel"/>
    <w:tmpl w:val="4C885B64"/>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1F12397C"/>
    <w:multiLevelType w:val="hybridMultilevel"/>
    <w:tmpl w:val="FABCB662"/>
    <w:lvl w:ilvl="0" w:tplc="1A3274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82374A4"/>
    <w:multiLevelType w:val="hybridMultilevel"/>
    <w:tmpl w:val="F98626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A22D72"/>
    <w:multiLevelType w:val="hybridMultilevel"/>
    <w:tmpl w:val="6114BE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3457C5"/>
    <w:multiLevelType w:val="hybridMultilevel"/>
    <w:tmpl w:val="E532444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0441690"/>
    <w:multiLevelType w:val="hybridMultilevel"/>
    <w:tmpl w:val="69A435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0812940"/>
    <w:multiLevelType w:val="hybridMultilevel"/>
    <w:tmpl w:val="52247F56"/>
    <w:lvl w:ilvl="0" w:tplc="B5CA7C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6F191E"/>
    <w:multiLevelType w:val="hybridMultilevel"/>
    <w:tmpl w:val="91C254F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FE955CB"/>
    <w:multiLevelType w:val="hybridMultilevel"/>
    <w:tmpl w:val="765C0F08"/>
    <w:lvl w:ilvl="0" w:tplc="CD84D6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9"/>
  </w:num>
  <w:num w:numId="4">
    <w:abstractNumId w:val="22"/>
  </w:num>
  <w:num w:numId="5">
    <w:abstractNumId w:val="13"/>
  </w:num>
  <w:num w:numId="6">
    <w:abstractNumId w:val="20"/>
  </w:num>
  <w:num w:numId="7">
    <w:abstractNumId w:val="14"/>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8"/>
  </w:num>
  <w:num w:numId="22">
    <w:abstractNumId w:val="27"/>
  </w:num>
  <w:num w:numId="23">
    <w:abstractNumId w:val="24"/>
  </w:num>
  <w:num w:numId="24">
    <w:abstractNumId w:val="31"/>
  </w:num>
  <w:num w:numId="25">
    <w:abstractNumId w:val="30"/>
  </w:num>
  <w:num w:numId="26">
    <w:abstractNumId w:val="12"/>
  </w:num>
  <w:num w:numId="27">
    <w:abstractNumId w:val="21"/>
  </w:num>
  <w:num w:numId="28">
    <w:abstractNumId w:val="32"/>
  </w:num>
  <w:num w:numId="29">
    <w:abstractNumId w:val="16"/>
  </w:num>
  <w:num w:numId="30">
    <w:abstractNumId w:val="26"/>
  </w:num>
  <w:num w:numId="31">
    <w:abstractNumId w:val="23"/>
  </w:num>
  <w:num w:numId="32">
    <w:abstractNumId w:val="17"/>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433A"/>
    <w:rsid w:val="00015722"/>
    <w:rsid w:val="00034E30"/>
    <w:rsid w:val="00037CA1"/>
    <w:rsid w:val="000429FD"/>
    <w:rsid w:val="000569F6"/>
    <w:rsid w:val="00071C57"/>
    <w:rsid w:val="00083860"/>
    <w:rsid w:val="00087B52"/>
    <w:rsid w:val="0009544C"/>
    <w:rsid w:val="000955E8"/>
    <w:rsid w:val="000A16E2"/>
    <w:rsid w:val="000A5719"/>
    <w:rsid w:val="000B00B0"/>
    <w:rsid w:val="000B46E9"/>
    <w:rsid w:val="000B7872"/>
    <w:rsid w:val="000C3528"/>
    <w:rsid w:val="000C5394"/>
    <w:rsid w:val="000C549F"/>
    <w:rsid w:val="000C67F0"/>
    <w:rsid w:val="000C6FF9"/>
    <w:rsid w:val="000D5702"/>
    <w:rsid w:val="000D66E2"/>
    <w:rsid w:val="000D7CC8"/>
    <w:rsid w:val="000E2BB4"/>
    <w:rsid w:val="000E4733"/>
    <w:rsid w:val="000F0E8F"/>
    <w:rsid w:val="000F2F78"/>
    <w:rsid w:val="001029F3"/>
    <w:rsid w:val="00105EC5"/>
    <w:rsid w:val="0011043C"/>
    <w:rsid w:val="0011218B"/>
    <w:rsid w:val="00134A21"/>
    <w:rsid w:val="00136364"/>
    <w:rsid w:val="00137512"/>
    <w:rsid w:val="001428D3"/>
    <w:rsid w:val="00150FBD"/>
    <w:rsid w:val="00154472"/>
    <w:rsid w:val="00155145"/>
    <w:rsid w:val="0016476A"/>
    <w:rsid w:val="001669FE"/>
    <w:rsid w:val="00166DF7"/>
    <w:rsid w:val="0017167D"/>
    <w:rsid w:val="00180B29"/>
    <w:rsid w:val="0019105C"/>
    <w:rsid w:val="00194E9E"/>
    <w:rsid w:val="001B1578"/>
    <w:rsid w:val="001B1C3C"/>
    <w:rsid w:val="001B226A"/>
    <w:rsid w:val="001D184B"/>
    <w:rsid w:val="001D2D30"/>
    <w:rsid w:val="001D67FC"/>
    <w:rsid w:val="001E0F13"/>
    <w:rsid w:val="001E2471"/>
    <w:rsid w:val="001E2F29"/>
    <w:rsid w:val="001E760F"/>
    <w:rsid w:val="001F3F4A"/>
    <w:rsid w:val="00201D6B"/>
    <w:rsid w:val="0020212F"/>
    <w:rsid w:val="00215A69"/>
    <w:rsid w:val="002208B7"/>
    <w:rsid w:val="0022498D"/>
    <w:rsid w:val="0022740A"/>
    <w:rsid w:val="00227B95"/>
    <w:rsid w:val="00233795"/>
    <w:rsid w:val="00234F98"/>
    <w:rsid w:val="00243575"/>
    <w:rsid w:val="00254FF1"/>
    <w:rsid w:val="002614FA"/>
    <w:rsid w:val="00263AD8"/>
    <w:rsid w:val="00275AFC"/>
    <w:rsid w:val="00284363"/>
    <w:rsid w:val="00286795"/>
    <w:rsid w:val="002B056C"/>
    <w:rsid w:val="002B2356"/>
    <w:rsid w:val="002B4268"/>
    <w:rsid w:val="002B440C"/>
    <w:rsid w:val="002B5A8B"/>
    <w:rsid w:val="002B68E7"/>
    <w:rsid w:val="002B77B2"/>
    <w:rsid w:val="002C18F2"/>
    <w:rsid w:val="002C4287"/>
    <w:rsid w:val="002D0679"/>
    <w:rsid w:val="002D5D6F"/>
    <w:rsid w:val="002D69CD"/>
    <w:rsid w:val="002E7A20"/>
    <w:rsid w:val="002F0974"/>
    <w:rsid w:val="003008C9"/>
    <w:rsid w:val="003061B4"/>
    <w:rsid w:val="00312D90"/>
    <w:rsid w:val="00330EFB"/>
    <w:rsid w:val="00336905"/>
    <w:rsid w:val="00340C6C"/>
    <w:rsid w:val="00362414"/>
    <w:rsid w:val="003660AD"/>
    <w:rsid w:val="0037551C"/>
    <w:rsid w:val="00376A18"/>
    <w:rsid w:val="003814E8"/>
    <w:rsid w:val="00390E57"/>
    <w:rsid w:val="003A4703"/>
    <w:rsid w:val="003A5040"/>
    <w:rsid w:val="003C6718"/>
    <w:rsid w:val="003D52D7"/>
    <w:rsid w:val="003E4BE8"/>
    <w:rsid w:val="003E7E0E"/>
    <w:rsid w:val="003F4AF4"/>
    <w:rsid w:val="00400221"/>
    <w:rsid w:val="00403DDE"/>
    <w:rsid w:val="00406E96"/>
    <w:rsid w:val="00416B38"/>
    <w:rsid w:val="00423AB9"/>
    <w:rsid w:val="00424015"/>
    <w:rsid w:val="00430379"/>
    <w:rsid w:val="00432AF3"/>
    <w:rsid w:val="00440693"/>
    <w:rsid w:val="004416E9"/>
    <w:rsid w:val="00451F19"/>
    <w:rsid w:val="00460579"/>
    <w:rsid w:val="0046327A"/>
    <w:rsid w:val="0047555B"/>
    <w:rsid w:val="00482091"/>
    <w:rsid w:val="0048389A"/>
    <w:rsid w:val="004A1BEB"/>
    <w:rsid w:val="004A3CB5"/>
    <w:rsid w:val="004A3DA8"/>
    <w:rsid w:val="004B2E63"/>
    <w:rsid w:val="004B395D"/>
    <w:rsid w:val="004B6729"/>
    <w:rsid w:val="004B710C"/>
    <w:rsid w:val="004C3977"/>
    <w:rsid w:val="004C46D6"/>
    <w:rsid w:val="0050066C"/>
    <w:rsid w:val="00505559"/>
    <w:rsid w:val="00511ACE"/>
    <w:rsid w:val="005129AB"/>
    <w:rsid w:val="0052052C"/>
    <w:rsid w:val="00520BC1"/>
    <w:rsid w:val="00524528"/>
    <w:rsid w:val="00524B40"/>
    <w:rsid w:val="00534CCB"/>
    <w:rsid w:val="0054633B"/>
    <w:rsid w:val="005506B3"/>
    <w:rsid w:val="00550B0B"/>
    <w:rsid w:val="00553BBE"/>
    <w:rsid w:val="00556971"/>
    <w:rsid w:val="00557AAD"/>
    <w:rsid w:val="005714BB"/>
    <w:rsid w:val="00584394"/>
    <w:rsid w:val="00584C55"/>
    <w:rsid w:val="00585865"/>
    <w:rsid w:val="00595206"/>
    <w:rsid w:val="005975C0"/>
    <w:rsid w:val="005A1988"/>
    <w:rsid w:val="005A7938"/>
    <w:rsid w:val="005B2E53"/>
    <w:rsid w:val="005B3F93"/>
    <w:rsid w:val="005B79FA"/>
    <w:rsid w:val="005C2E1A"/>
    <w:rsid w:val="005C5960"/>
    <w:rsid w:val="005D776A"/>
    <w:rsid w:val="005E3FFA"/>
    <w:rsid w:val="00601BBB"/>
    <w:rsid w:val="0061674C"/>
    <w:rsid w:val="00617B7D"/>
    <w:rsid w:val="00623167"/>
    <w:rsid w:val="00655366"/>
    <w:rsid w:val="00655F13"/>
    <w:rsid w:val="00657535"/>
    <w:rsid w:val="006779C9"/>
    <w:rsid w:val="006838B8"/>
    <w:rsid w:val="006861CD"/>
    <w:rsid w:val="006908FF"/>
    <w:rsid w:val="00691330"/>
    <w:rsid w:val="0069199E"/>
    <w:rsid w:val="00692AE5"/>
    <w:rsid w:val="006A055F"/>
    <w:rsid w:val="006A16C6"/>
    <w:rsid w:val="006A3249"/>
    <w:rsid w:val="006A3DEB"/>
    <w:rsid w:val="006A4FBC"/>
    <w:rsid w:val="006A6954"/>
    <w:rsid w:val="006C0CBE"/>
    <w:rsid w:val="006C5DB4"/>
    <w:rsid w:val="006D06EE"/>
    <w:rsid w:val="006E01C0"/>
    <w:rsid w:val="006E223F"/>
    <w:rsid w:val="006E7D31"/>
    <w:rsid w:val="006F42A2"/>
    <w:rsid w:val="006F71C5"/>
    <w:rsid w:val="00701C6F"/>
    <w:rsid w:val="00702230"/>
    <w:rsid w:val="00704061"/>
    <w:rsid w:val="00705B01"/>
    <w:rsid w:val="007075B8"/>
    <w:rsid w:val="007116B7"/>
    <w:rsid w:val="00711932"/>
    <w:rsid w:val="00714655"/>
    <w:rsid w:val="00726F02"/>
    <w:rsid w:val="00732BF6"/>
    <w:rsid w:val="007368C3"/>
    <w:rsid w:val="00740E3F"/>
    <w:rsid w:val="00741BC9"/>
    <w:rsid w:val="00742DD8"/>
    <w:rsid w:val="00743BD4"/>
    <w:rsid w:val="007449BA"/>
    <w:rsid w:val="00744C0A"/>
    <w:rsid w:val="00751764"/>
    <w:rsid w:val="00761D2B"/>
    <w:rsid w:val="00762558"/>
    <w:rsid w:val="007705BF"/>
    <w:rsid w:val="007801E2"/>
    <w:rsid w:val="00780A6E"/>
    <w:rsid w:val="00784C09"/>
    <w:rsid w:val="007879D9"/>
    <w:rsid w:val="007928CF"/>
    <w:rsid w:val="007A1BC2"/>
    <w:rsid w:val="007A6D88"/>
    <w:rsid w:val="007C2DEB"/>
    <w:rsid w:val="007D2224"/>
    <w:rsid w:val="007D4F5D"/>
    <w:rsid w:val="007E137F"/>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5692"/>
    <w:rsid w:val="0088713D"/>
    <w:rsid w:val="00887350"/>
    <w:rsid w:val="008A58A5"/>
    <w:rsid w:val="008A61D0"/>
    <w:rsid w:val="008A7D57"/>
    <w:rsid w:val="008E0540"/>
    <w:rsid w:val="008E39E4"/>
    <w:rsid w:val="008E4532"/>
    <w:rsid w:val="008E79B0"/>
    <w:rsid w:val="008F0EC7"/>
    <w:rsid w:val="008F1D61"/>
    <w:rsid w:val="008F4AE2"/>
    <w:rsid w:val="00900AE3"/>
    <w:rsid w:val="0090169D"/>
    <w:rsid w:val="0091362C"/>
    <w:rsid w:val="00916497"/>
    <w:rsid w:val="0092583B"/>
    <w:rsid w:val="009342D2"/>
    <w:rsid w:val="00947D9E"/>
    <w:rsid w:val="00961F65"/>
    <w:rsid w:val="009747C6"/>
    <w:rsid w:val="00974BA2"/>
    <w:rsid w:val="00976DD6"/>
    <w:rsid w:val="00982DBC"/>
    <w:rsid w:val="00985D12"/>
    <w:rsid w:val="009906C6"/>
    <w:rsid w:val="00992893"/>
    <w:rsid w:val="009A1FA9"/>
    <w:rsid w:val="009A3699"/>
    <w:rsid w:val="009A4AB2"/>
    <w:rsid w:val="009A5544"/>
    <w:rsid w:val="009A7C1B"/>
    <w:rsid w:val="009B2DF3"/>
    <w:rsid w:val="009B5C2F"/>
    <w:rsid w:val="009C05E7"/>
    <w:rsid w:val="009C3752"/>
    <w:rsid w:val="009C6F56"/>
    <w:rsid w:val="009D2B9D"/>
    <w:rsid w:val="009D484E"/>
    <w:rsid w:val="009D5EB2"/>
    <w:rsid w:val="009E1469"/>
    <w:rsid w:val="009E652E"/>
    <w:rsid w:val="009F0D45"/>
    <w:rsid w:val="009F1A2C"/>
    <w:rsid w:val="009F7220"/>
    <w:rsid w:val="00A0339A"/>
    <w:rsid w:val="00A2648A"/>
    <w:rsid w:val="00A32CC3"/>
    <w:rsid w:val="00A3387F"/>
    <w:rsid w:val="00A367C9"/>
    <w:rsid w:val="00A432B0"/>
    <w:rsid w:val="00A44911"/>
    <w:rsid w:val="00A54D5A"/>
    <w:rsid w:val="00A604A3"/>
    <w:rsid w:val="00A62AF7"/>
    <w:rsid w:val="00A8288F"/>
    <w:rsid w:val="00A93689"/>
    <w:rsid w:val="00AA04EE"/>
    <w:rsid w:val="00AA0C4B"/>
    <w:rsid w:val="00AA1F81"/>
    <w:rsid w:val="00AB302E"/>
    <w:rsid w:val="00AB356F"/>
    <w:rsid w:val="00AB5666"/>
    <w:rsid w:val="00AC06B0"/>
    <w:rsid w:val="00AC1838"/>
    <w:rsid w:val="00AC52CD"/>
    <w:rsid w:val="00AC5BA9"/>
    <w:rsid w:val="00AD5B34"/>
    <w:rsid w:val="00AE3220"/>
    <w:rsid w:val="00AE35A2"/>
    <w:rsid w:val="00AE38AC"/>
    <w:rsid w:val="00AE58CF"/>
    <w:rsid w:val="00B00BA6"/>
    <w:rsid w:val="00B02A98"/>
    <w:rsid w:val="00B10009"/>
    <w:rsid w:val="00B12216"/>
    <w:rsid w:val="00B13059"/>
    <w:rsid w:val="00B24109"/>
    <w:rsid w:val="00B30BBE"/>
    <w:rsid w:val="00B31D2F"/>
    <w:rsid w:val="00B5144E"/>
    <w:rsid w:val="00B53BC2"/>
    <w:rsid w:val="00B56FC0"/>
    <w:rsid w:val="00B6207E"/>
    <w:rsid w:val="00B63594"/>
    <w:rsid w:val="00B73CC6"/>
    <w:rsid w:val="00B754D9"/>
    <w:rsid w:val="00B76281"/>
    <w:rsid w:val="00B9228A"/>
    <w:rsid w:val="00B93682"/>
    <w:rsid w:val="00B97752"/>
    <w:rsid w:val="00BA2E82"/>
    <w:rsid w:val="00BA37B6"/>
    <w:rsid w:val="00BB0BCE"/>
    <w:rsid w:val="00BB2E0C"/>
    <w:rsid w:val="00BB6642"/>
    <w:rsid w:val="00BB6C2B"/>
    <w:rsid w:val="00BC1B24"/>
    <w:rsid w:val="00BC20C8"/>
    <w:rsid w:val="00BC3BFC"/>
    <w:rsid w:val="00BF2A7B"/>
    <w:rsid w:val="00BF4E4B"/>
    <w:rsid w:val="00C00485"/>
    <w:rsid w:val="00C00FC6"/>
    <w:rsid w:val="00C02C8B"/>
    <w:rsid w:val="00C114CB"/>
    <w:rsid w:val="00C2119F"/>
    <w:rsid w:val="00C235D8"/>
    <w:rsid w:val="00C25950"/>
    <w:rsid w:val="00C2725F"/>
    <w:rsid w:val="00C303DD"/>
    <w:rsid w:val="00C42C9F"/>
    <w:rsid w:val="00C57F7E"/>
    <w:rsid w:val="00C847CB"/>
    <w:rsid w:val="00C87711"/>
    <w:rsid w:val="00C90797"/>
    <w:rsid w:val="00CA0DFF"/>
    <w:rsid w:val="00CA1A4A"/>
    <w:rsid w:val="00CA58F6"/>
    <w:rsid w:val="00CA78CC"/>
    <w:rsid w:val="00CB0417"/>
    <w:rsid w:val="00CC28BB"/>
    <w:rsid w:val="00CC5381"/>
    <w:rsid w:val="00CE5014"/>
    <w:rsid w:val="00CE6163"/>
    <w:rsid w:val="00CF06EA"/>
    <w:rsid w:val="00CF6F80"/>
    <w:rsid w:val="00D15B9A"/>
    <w:rsid w:val="00D168EE"/>
    <w:rsid w:val="00D21462"/>
    <w:rsid w:val="00D309B7"/>
    <w:rsid w:val="00D30FF2"/>
    <w:rsid w:val="00D36D77"/>
    <w:rsid w:val="00D55CE5"/>
    <w:rsid w:val="00D562BB"/>
    <w:rsid w:val="00D62AB7"/>
    <w:rsid w:val="00D64DE9"/>
    <w:rsid w:val="00D670CF"/>
    <w:rsid w:val="00D83A0F"/>
    <w:rsid w:val="00D84D59"/>
    <w:rsid w:val="00D8654F"/>
    <w:rsid w:val="00D90DFD"/>
    <w:rsid w:val="00D95CF2"/>
    <w:rsid w:val="00DA468A"/>
    <w:rsid w:val="00DA5B60"/>
    <w:rsid w:val="00DA77A6"/>
    <w:rsid w:val="00DB378A"/>
    <w:rsid w:val="00DB7FFE"/>
    <w:rsid w:val="00DC2F03"/>
    <w:rsid w:val="00DC4CEE"/>
    <w:rsid w:val="00DE5FA4"/>
    <w:rsid w:val="00DE657F"/>
    <w:rsid w:val="00DE6CEA"/>
    <w:rsid w:val="00DF1749"/>
    <w:rsid w:val="00DF7043"/>
    <w:rsid w:val="00E06638"/>
    <w:rsid w:val="00E12259"/>
    <w:rsid w:val="00E221DC"/>
    <w:rsid w:val="00E2550B"/>
    <w:rsid w:val="00E358D8"/>
    <w:rsid w:val="00E37F60"/>
    <w:rsid w:val="00E53816"/>
    <w:rsid w:val="00E57266"/>
    <w:rsid w:val="00E72D84"/>
    <w:rsid w:val="00E74414"/>
    <w:rsid w:val="00E756A8"/>
    <w:rsid w:val="00EA7A2C"/>
    <w:rsid w:val="00EB4745"/>
    <w:rsid w:val="00EC11F6"/>
    <w:rsid w:val="00EC58A1"/>
    <w:rsid w:val="00EC6E21"/>
    <w:rsid w:val="00ED4A59"/>
    <w:rsid w:val="00EE3B56"/>
    <w:rsid w:val="00EE59E6"/>
    <w:rsid w:val="00EF139E"/>
    <w:rsid w:val="00EF1D9C"/>
    <w:rsid w:val="00F00E05"/>
    <w:rsid w:val="00F0154F"/>
    <w:rsid w:val="00F04B8E"/>
    <w:rsid w:val="00F1143E"/>
    <w:rsid w:val="00F14C9D"/>
    <w:rsid w:val="00F22482"/>
    <w:rsid w:val="00F24B3F"/>
    <w:rsid w:val="00F30596"/>
    <w:rsid w:val="00F37AC5"/>
    <w:rsid w:val="00F42B16"/>
    <w:rsid w:val="00F43A7D"/>
    <w:rsid w:val="00F45886"/>
    <w:rsid w:val="00F51A6F"/>
    <w:rsid w:val="00F55EFE"/>
    <w:rsid w:val="00F56E21"/>
    <w:rsid w:val="00F617CF"/>
    <w:rsid w:val="00F67AC3"/>
    <w:rsid w:val="00F749F3"/>
    <w:rsid w:val="00F8420D"/>
    <w:rsid w:val="00FB059D"/>
    <w:rsid w:val="00FB6584"/>
    <w:rsid w:val="00FC04CF"/>
    <w:rsid w:val="00FC39FC"/>
    <w:rsid w:val="00FD0248"/>
    <w:rsid w:val="00FD23D5"/>
    <w:rsid w:val="00FD4B43"/>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qFormat="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uiPriority w:val="22"/>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link w:val="ac"/>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d">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e">
    <w:name w:val="Знак Знак Знак Знак"/>
    <w:basedOn w:val="a"/>
    <w:rsid w:val="000B46E9"/>
    <w:pPr>
      <w:spacing w:after="0" w:line="240" w:lineRule="auto"/>
    </w:pPr>
    <w:rPr>
      <w:rFonts w:ascii="Verdana" w:hAnsi="Verdana"/>
      <w:sz w:val="20"/>
      <w:szCs w:val="20"/>
      <w:lang w:val="en-US"/>
    </w:rPr>
  </w:style>
  <w:style w:type="character" w:customStyle="1" w:styleId="ac">
    <w:name w:val="Основной текст Знак"/>
    <w:link w:val="ab"/>
    <w:rsid w:val="009A1FA9"/>
    <w:rPr>
      <w:rFonts w:eastAsia="Times New Roman"/>
      <w:sz w:val="22"/>
      <w:szCs w:val="22"/>
      <w:lang w:eastAsia="en-US"/>
    </w:rPr>
  </w:style>
  <w:style w:type="paragraph" w:styleId="af">
    <w:name w:val="List Paragraph"/>
    <w:basedOn w:val="a"/>
    <w:uiPriority w:val="34"/>
    <w:qFormat/>
    <w:rsid w:val="00B73CC6"/>
    <w:pPr>
      <w:spacing w:after="160" w:line="259" w:lineRule="auto"/>
      <w:ind w:left="720"/>
      <w:contextualSpacing/>
    </w:pPr>
    <w:rPr>
      <w:rFonts w:eastAsia="Calibri"/>
    </w:rPr>
  </w:style>
  <w:style w:type="paragraph" w:customStyle="1" w:styleId="rvps2">
    <w:name w:val="rvps2"/>
    <w:basedOn w:val="a"/>
    <w:rsid w:val="00B9228A"/>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binet.tax.gov.u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8ECC-578F-4426-8393-54B447B0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21</cp:revision>
  <cp:lastPrinted>2019-10-22T09:29:00Z</cp:lastPrinted>
  <dcterms:created xsi:type="dcterms:W3CDTF">2021-01-11T13:45:00Z</dcterms:created>
  <dcterms:modified xsi:type="dcterms:W3CDTF">2021-01-11T13:47:00Z</dcterms:modified>
</cp:coreProperties>
</file>