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4B16F9" w:rsidRDefault="00B72114" w:rsidP="004B1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2114">
              <w:rPr>
                <w:rFonts w:ascii="Times New Roman" w:hAnsi="Times New Roman" w:cs="Times New Roman"/>
                <w:sz w:val="26"/>
                <w:szCs w:val="26"/>
              </w:rPr>
              <w:t xml:space="preserve">Реконструкція силових електричних мереж та покрівлі з приєднанням дахової СЕС потужністю 50кВт для потреб адміністративного приміщення ГУ ДПС у Волинській області за </w:t>
            </w:r>
            <w:proofErr w:type="spellStart"/>
            <w:r w:rsidRPr="00B72114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B72114">
              <w:rPr>
                <w:rFonts w:ascii="Times New Roman" w:hAnsi="Times New Roman" w:cs="Times New Roman"/>
                <w:sz w:val="26"/>
                <w:szCs w:val="26"/>
              </w:rPr>
              <w:t>: м. Луцьк, майдан Київський,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 кодом </w:t>
            </w:r>
            <w:r w:rsidRPr="00B72114">
              <w:rPr>
                <w:rFonts w:ascii="Times New Roman" w:hAnsi="Times New Roman" w:cs="Times New Roman"/>
                <w:sz w:val="26"/>
                <w:szCs w:val="26"/>
              </w:rPr>
              <w:t>ДК 021:2015: 45310000-3 - Електромонтажні роботи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58A" w:rsidRPr="004B16F9" w:rsidRDefault="00CC308C" w:rsidP="004B1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B72114" w:rsidRPr="00B72114">
              <w:rPr>
                <w:rFonts w:ascii="Times New Roman" w:hAnsi="Times New Roman" w:cs="Times New Roman"/>
                <w:sz w:val="26"/>
                <w:szCs w:val="26"/>
              </w:rPr>
              <w:t>UA-2025-11-20-017544-a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0058A" w:rsidTr="00CA3A7A">
        <w:trPr>
          <w:trHeight w:val="477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B72114" w:rsidRDefault="00B72114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Закупівля робіт з реконструкції електричних мереж та покрівлі з приєднанням дахової сонячної електростанції здійснюється з метою забезпечення надійного, безпечного та безперебійного електропостачання об’єкта, а також підвищення енергоефективності та зменшення витрат на споживання електричної енергії.</w:t>
            </w:r>
          </w:p>
          <w:p w:rsidR="00B72114" w:rsidRDefault="00481E85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Роботи передбачають виконання комплексу заходів: улаштування покрівлі будівлі, прокладання ліній електромереж</w:t>
            </w:r>
            <w:r w:rsidR="00CA3A7A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, монтаж конструкцій для СЕС, встановлення та підключення </w:t>
            </w:r>
            <w:proofErr w:type="spellStart"/>
            <w:r w:rsidR="00CA3A7A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фотомодулів</w:t>
            </w:r>
            <w:proofErr w:type="spellEnd"/>
            <w:r w:rsidR="00CA3A7A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, інверторів, систем захисту й обліку електроенергії відповідно до затвердженої проектно-кошторисної документації. </w:t>
            </w:r>
          </w:p>
          <w:p w:rsidR="00FF1519" w:rsidRPr="00CA3A7A" w:rsidRDefault="00CA3A7A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</w:pPr>
            <w:r w:rsidRPr="00CA3A7A">
              <w:rPr>
                <w:rFonts w:ascii="Times New Roman" w:hAnsi="Times New Roman" w:cs="Times New Roman"/>
                <w:color w:val="auto"/>
                <w:lang w:eastAsia="ru-RU"/>
              </w:rPr>
              <w:t>Детальна інформація про технічні, якісні та інші характеристики предмету закупівлі зазначена в Додатку 3 тендерної документації.</w:t>
            </w:r>
          </w:p>
        </w:tc>
      </w:tr>
      <w:tr w:rsidR="00F0058A" w:rsidTr="00084CC6">
        <w:trPr>
          <w:trHeight w:val="2400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0058A" w:rsidRPr="004B16F9" w:rsidRDefault="00084CC6" w:rsidP="00E211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</w:t>
            </w:r>
            <w:r w:rsidR="00E67104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E67104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275, </w:t>
            </w:r>
            <w:r w:rsidR="00E21138" w:rsidRPr="00E21138">
              <w:rPr>
                <w:rFonts w:ascii="Times New Roman" w:hAnsi="Times New Roman"/>
                <w:sz w:val="26"/>
                <w:szCs w:val="26"/>
                <w:lang w:eastAsia="ru-RU"/>
              </w:rPr>
              <w:t>з урахуванням </w:t>
            </w:r>
            <w:hyperlink r:id="rId5" w:anchor="n12" w:tgtFrame="_blank" w:history="1">
              <w:r w:rsidR="00E21138" w:rsidRPr="00E21138">
                <w:rPr>
                  <w:rStyle w:val="a9"/>
                  <w:rFonts w:ascii="Times New Roman" w:hAnsi="Times New Roman"/>
                  <w:color w:val="auto"/>
                  <w:sz w:val="26"/>
                  <w:szCs w:val="26"/>
                  <w:u w:val="none"/>
                  <w:lang w:eastAsia="ru-RU"/>
                </w:rPr>
                <w:t>кошторисних норм України</w:t>
              </w:r>
            </w:hyperlink>
            <w:r w:rsidR="00E21138" w:rsidRPr="00E21138">
              <w:rPr>
                <w:rFonts w:ascii="Times New Roman" w:hAnsi="Times New Roman"/>
                <w:color w:val="auto"/>
                <w:sz w:val="26"/>
                <w:szCs w:val="26"/>
                <w:lang w:eastAsia="ru-RU"/>
              </w:rPr>
              <w:t> "</w:t>
            </w:r>
            <w:r w:rsidR="00E21138" w:rsidRPr="00E21138">
              <w:rPr>
                <w:rFonts w:ascii="Times New Roman" w:hAnsi="Times New Roman"/>
                <w:sz w:val="26"/>
                <w:szCs w:val="26"/>
                <w:lang w:eastAsia="ru-RU"/>
              </w:rPr>
              <w:t>Настанова з визначення вартості проектних, науково-проектних, вишукувальних робіт та експертизи проектної документації на будівництво", затверджених наказом Міністерства розвитку громад та територій України від 01.11.2021 № 281, відповідно до розробленої та затвердженої проектної документації.</w:t>
            </w: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21138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чікуваної вартості </w:t>
            </w:r>
            <w:r w:rsidR="00E21138">
              <w:rPr>
                <w:rFonts w:ascii="Times New Roman" w:hAnsi="Times New Roman"/>
                <w:sz w:val="26"/>
                <w:szCs w:val="26"/>
                <w:lang w:eastAsia="ru-RU"/>
              </w:rPr>
              <w:t>робіт становить 4 168 457,00</w:t>
            </w:r>
            <w:bookmarkStart w:id="0" w:name="_GoBack"/>
            <w:bookmarkEnd w:id="0"/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</w:tbl>
    <w:p w:rsidR="008D5864" w:rsidRDefault="00E21138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3B94"/>
    <w:rsid w:val="0032380D"/>
    <w:rsid w:val="00375DF1"/>
    <w:rsid w:val="004047B1"/>
    <w:rsid w:val="00421B05"/>
    <w:rsid w:val="0045473D"/>
    <w:rsid w:val="00481E85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C1F79"/>
    <w:rsid w:val="00842105"/>
    <w:rsid w:val="0087366F"/>
    <w:rsid w:val="00891A75"/>
    <w:rsid w:val="008B2E9A"/>
    <w:rsid w:val="008C324F"/>
    <w:rsid w:val="008E753A"/>
    <w:rsid w:val="009012C7"/>
    <w:rsid w:val="009070AD"/>
    <w:rsid w:val="00980CDA"/>
    <w:rsid w:val="00A17D34"/>
    <w:rsid w:val="00A237E1"/>
    <w:rsid w:val="00A91AD6"/>
    <w:rsid w:val="00B032CC"/>
    <w:rsid w:val="00B55352"/>
    <w:rsid w:val="00B72114"/>
    <w:rsid w:val="00B75B45"/>
    <w:rsid w:val="00C43E56"/>
    <w:rsid w:val="00C43F3F"/>
    <w:rsid w:val="00C71524"/>
    <w:rsid w:val="00CA3A7A"/>
    <w:rsid w:val="00CC308C"/>
    <w:rsid w:val="00CE51B4"/>
    <w:rsid w:val="00D16DCE"/>
    <w:rsid w:val="00DA0AC0"/>
    <w:rsid w:val="00DE4BB5"/>
    <w:rsid w:val="00DE7558"/>
    <w:rsid w:val="00E06076"/>
    <w:rsid w:val="00E21138"/>
    <w:rsid w:val="00E45653"/>
    <w:rsid w:val="00E5007F"/>
    <w:rsid w:val="00E67104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38C7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Hyperlink"/>
    <w:basedOn w:val="a0"/>
    <w:uiPriority w:val="99"/>
    <w:unhideWhenUsed/>
    <w:rsid w:val="00E21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v0281914-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2</cp:revision>
  <cp:lastPrinted>2021-07-08T13:50:00Z</cp:lastPrinted>
  <dcterms:created xsi:type="dcterms:W3CDTF">2025-11-25T09:45:00Z</dcterms:created>
  <dcterms:modified xsi:type="dcterms:W3CDTF">2025-11-25T09:45:00Z</dcterms:modified>
</cp:coreProperties>
</file>