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E1" w:rsidRDefault="00777BE1" w:rsidP="009F6C0C">
      <w:pPr>
        <w:shd w:val="clear" w:color="auto" w:fill="FFFFFF"/>
        <w:spacing w:after="0" w:line="312" w:lineRule="atLeast"/>
        <w:ind w:firstLine="708"/>
        <w:jc w:val="both"/>
        <w:textAlignment w:val="baseline"/>
        <w:rPr>
          <w:rFonts w:ascii="Times New Roman" w:eastAsia="Times New Roman" w:hAnsi="Times New Roman" w:cs="Times New Roman"/>
          <w:color w:val="3D3C3B"/>
          <w:sz w:val="28"/>
          <w:szCs w:val="28"/>
          <w:lang w:eastAsia="uk-UA"/>
        </w:rPr>
      </w:pPr>
    </w:p>
    <w:p w:rsidR="00777BE1" w:rsidRDefault="00777BE1" w:rsidP="009F6C0C">
      <w:pPr>
        <w:shd w:val="clear" w:color="auto" w:fill="FFFFFF"/>
        <w:spacing w:after="0" w:line="312" w:lineRule="atLeast"/>
        <w:ind w:firstLine="708"/>
        <w:jc w:val="both"/>
        <w:textAlignment w:val="baseline"/>
        <w:rPr>
          <w:rFonts w:ascii="Times New Roman" w:eastAsia="Times New Roman" w:hAnsi="Times New Roman" w:cs="Times New Roman"/>
          <w:color w:val="3D3C3B"/>
          <w:sz w:val="28"/>
          <w:szCs w:val="28"/>
          <w:lang w:eastAsia="uk-UA"/>
        </w:rPr>
      </w:pPr>
    </w:p>
    <w:p w:rsidR="00777BE1" w:rsidRDefault="00777BE1" w:rsidP="009F6C0C">
      <w:pPr>
        <w:shd w:val="clear" w:color="auto" w:fill="FFFFFF"/>
        <w:spacing w:after="0" w:line="312" w:lineRule="atLeast"/>
        <w:ind w:firstLine="708"/>
        <w:jc w:val="both"/>
        <w:textAlignment w:val="baseline"/>
        <w:rPr>
          <w:rFonts w:ascii="Times New Roman" w:eastAsia="Times New Roman" w:hAnsi="Times New Roman" w:cs="Times New Roman"/>
          <w:color w:val="3D3C3B"/>
          <w:sz w:val="28"/>
          <w:szCs w:val="28"/>
          <w:lang w:eastAsia="uk-UA"/>
        </w:rPr>
      </w:pPr>
    </w:p>
    <w:p w:rsidR="00F33CB9" w:rsidRPr="00BA6D39" w:rsidRDefault="00F33CB9" w:rsidP="009F6C0C">
      <w:pPr>
        <w:shd w:val="clear" w:color="auto" w:fill="FFFFFF"/>
        <w:spacing w:after="0" w:line="312" w:lineRule="atLeast"/>
        <w:ind w:firstLine="708"/>
        <w:jc w:val="both"/>
        <w:textAlignment w:val="baseline"/>
        <w:rPr>
          <w:rFonts w:ascii="Times New Roman" w:eastAsia="Times New Roman" w:hAnsi="Times New Roman" w:cs="Times New Roman"/>
          <w:color w:val="3D3C3B"/>
          <w:sz w:val="28"/>
          <w:szCs w:val="28"/>
          <w:lang w:eastAsia="uk-UA"/>
        </w:rPr>
      </w:pPr>
      <w:bookmarkStart w:id="0" w:name="_GoBack"/>
      <w:bookmarkEnd w:id="0"/>
      <w:r w:rsidRPr="00BA6D39">
        <w:rPr>
          <w:rFonts w:ascii="Times New Roman" w:eastAsia="Times New Roman" w:hAnsi="Times New Roman" w:cs="Times New Roman"/>
          <w:color w:val="3D3C3B"/>
          <w:sz w:val="28"/>
          <w:szCs w:val="28"/>
          <w:lang w:eastAsia="uk-UA"/>
        </w:rPr>
        <w:t>Податковим кодексом України (ПКУ) громадянам надано право скористатись податковою знижкою у поточному році за попередній рік. Порядок отримання податкової знижки визначено статтею 166 ПКУ.</w:t>
      </w:r>
    </w:p>
    <w:p w:rsidR="00F33CB9" w:rsidRPr="00BA6D39" w:rsidRDefault="00F33CB9" w:rsidP="009F6C0C">
      <w:pPr>
        <w:shd w:val="clear" w:color="auto" w:fill="FFFFFF"/>
        <w:spacing w:after="0" w:line="312" w:lineRule="atLeast"/>
        <w:ind w:firstLine="708"/>
        <w:jc w:val="both"/>
        <w:textAlignment w:val="baseline"/>
        <w:rPr>
          <w:rFonts w:ascii="Times New Roman" w:eastAsia="Times New Roman" w:hAnsi="Times New Roman" w:cs="Times New Roman"/>
          <w:color w:val="3D3C3B"/>
          <w:sz w:val="28"/>
          <w:szCs w:val="28"/>
          <w:lang w:eastAsia="uk-UA"/>
        </w:rPr>
      </w:pPr>
      <w:r w:rsidRPr="00BA6D39">
        <w:rPr>
          <w:rFonts w:ascii="Times New Roman" w:eastAsia="Times New Roman" w:hAnsi="Times New Roman" w:cs="Times New Roman"/>
          <w:color w:val="3D3C3B"/>
          <w:sz w:val="28"/>
          <w:szCs w:val="28"/>
          <w:lang w:eastAsia="uk-UA"/>
        </w:rPr>
        <w:t xml:space="preserve">Нормами </w:t>
      </w:r>
      <w:proofErr w:type="spellStart"/>
      <w:r w:rsidRPr="00BA6D39">
        <w:rPr>
          <w:rFonts w:ascii="Times New Roman" w:eastAsia="Times New Roman" w:hAnsi="Times New Roman" w:cs="Times New Roman"/>
          <w:color w:val="3D3C3B"/>
          <w:sz w:val="28"/>
          <w:szCs w:val="28"/>
          <w:lang w:eastAsia="uk-UA"/>
        </w:rPr>
        <w:t>пп</w:t>
      </w:r>
      <w:proofErr w:type="spellEnd"/>
      <w:r w:rsidRPr="00BA6D39">
        <w:rPr>
          <w:rFonts w:ascii="Times New Roman" w:eastAsia="Times New Roman" w:hAnsi="Times New Roman" w:cs="Times New Roman"/>
          <w:color w:val="3D3C3B"/>
          <w:sz w:val="28"/>
          <w:szCs w:val="28"/>
          <w:lang w:eastAsia="uk-UA"/>
        </w:rPr>
        <w:t>. 14.1.170 п. 14.1 ст. 14 ПКУ встановлено, що </w:t>
      </w:r>
      <w:r w:rsidRPr="00BA6D39">
        <w:rPr>
          <w:rFonts w:ascii="Times New Roman" w:eastAsia="Times New Roman" w:hAnsi="Times New Roman" w:cs="Times New Roman"/>
          <w:b/>
          <w:bCs/>
          <w:color w:val="3D3C3B"/>
          <w:sz w:val="28"/>
          <w:szCs w:val="28"/>
          <w:bdr w:val="none" w:sz="0" w:space="0" w:color="auto" w:frame="1"/>
          <w:lang w:eastAsia="uk-UA"/>
        </w:rPr>
        <w:t>податкова знижка</w:t>
      </w:r>
      <w:r w:rsidRPr="00BA6D39">
        <w:rPr>
          <w:rFonts w:ascii="Times New Roman" w:eastAsia="Times New Roman" w:hAnsi="Times New Roman" w:cs="Times New Roman"/>
          <w:color w:val="3D3C3B"/>
          <w:sz w:val="28"/>
          <w:szCs w:val="28"/>
          <w:lang w:eastAsia="uk-UA"/>
        </w:rPr>
        <w:t> для фізичних осіб, які не є суб’єктами господарювання, – документально підтверджена сума (вартість) витрат платника податку на доходи фізичних осіб (ПДФО) – резидента у зв’язку з придбанням товарів (робіт, послуг) у резидентів – фізичних або юридичних осіб протягом звітного року, на яку дозволяється зменшення його загального річного оподатковуваного доходу, одержаного за наслідками такого звітного року у вигляді заробітної плати, у випадках, визначених ПКУ.</w:t>
      </w:r>
    </w:p>
    <w:p w:rsidR="00F33CB9" w:rsidRPr="00BA6D39" w:rsidRDefault="00F33CB9" w:rsidP="009F6C0C">
      <w:pPr>
        <w:shd w:val="clear" w:color="auto" w:fill="FFFFFF"/>
        <w:spacing w:after="0" w:line="312" w:lineRule="atLeast"/>
        <w:ind w:firstLine="708"/>
        <w:jc w:val="both"/>
        <w:textAlignment w:val="baseline"/>
        <w:rPr>
          <w:rFonts w:ascii="Times New Roman" w:eastAsia="Times New Roman" w:hAnsi="Times New Roman" w:cs="Times New Roman"/>
          <w:color w:val="3D3C3B"/>
          <w:sz w:val="28"/>
          <w:szCs w:val="28"/>
          <w:lang w:eastAsia="uk-UA"/>
        </w:rPr>
      </w:pPr>
      <w:r w:rsidRPr="00BA6D39">
        <w:rPr>
          <w:rFonts w:ascii="Times New Roman" w:eastAsia="Times New Roman" w:hAnsi="Times New Roman" w:cs="Times New Roman"/>
          <w:color w:val="3D3C3B"/>
          <w:sz w:val="28"/>
          <w:szCs w:val="28"/>
          <w:lang w:eastAsia="uk-UA"/>
        </w:rPr>
        <w:t>Підстави для нарахування податкової знижки із зазначенням конкретних сум відображаються платником ПДФО у річній податковій декларації про майновий стан і доходи (податкова декларація), яка подається по 31 грудня включно наступного за звітним податкового року.</w:t>
      </w:r>
    </w:p>
    <w:p w:rsidR="00F33CB9" w:rsidRDefault="00F33CB9" w:rsidP="009F6C0C">
      <w:pPr>
        <w:shd w:val="clear" w:color="auto" w:fill="FFFFFF"/>
        <w:spacing w:after="0" w:line="312" w:lineRule="atLeast"/>
        <w:ind w:firstLine="708"/>
        <w:jc w:val="both"/>
        <w:textAlignment w:val="baseline"/>
        <w:rPr>
          <w:rFonts w:ascii="Times New Roman" w:eastAsia="Times New Roman" w:hAnsi="Times New Roman" w:cs="Times New Roman"/>
          <w:color w:val="3D3C3B"/>
          <w:sz w:val="28"/>
          <w:szCs w:val="28"/>
          <w:lang w:eastAsia="uk-UA"/>
        </w:rPr>
      </w:pPr>
      <w:r w:rsidRPr="00BA6D39">
        <w:rPr>
          <w:rFonts w:ascii="Times New Roman" w:eastAsia="Times New Roman" w:hAnsi="Times New Roman" w:cs="Times New Roman"/>
          <w:color w:val="3D3C3B"/>
          <w:sz w:val="28"/>
          <w:szCs w:val="28"/>
          <w:lang w:eastAsia="uk-UA"/>
        </w:rPr>
        <w:t>До податкової знижки включаються фактично здійснені протягом звітного податкового року платником ПДФО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(отримувача), а також копіями договорів за їх наявності, в яких обов’язково повинно бути відображено вартість таких товарів (робіт, послуг) і строк оплати за такі товари (роботи, послуги).</w:t>
      </w:r>
    </w:p>
    <w:p w:rsidR="002A4A8F" w:rsidRDefault="002A4A8F" w:rsidP="000C743D">
      <w:pPr>
        <w:pStyle w:val="a3"/>
        <w:shd w:val="clear" w:color="auto" w:fill="FFFFFF"/>
        <w:spacing w:before="0" w:beforeAutospacing="0" w:after="0" w:afterAutospacing="0"/>
        <w:jc w:val="both"/>
        <w:textAlignment w:val="baseline"/>
        <w:rPr>
          <w:color w:val="000000"/>
          <w:sz w:val="28"/>
          <w:szCs w:val="28"/>
        </w:rPr>
      </w:pPr>
    </w:p>
    <w:p w:rsidR="000C743D" w:rsidRPr="00BA6D39" w:rsidRDefault="000C743D" w:rsidP="000C743D">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Pr>
          <w:color w:val="000000"/>
          <w:sz w:val="28"/>
          <w:szCs w:val="28"/>
        </w:rPr>
        <w:tab/>
      </w:r>
      <w:r w:rsidRPr="00BA6D39">
        <w:rPr>
          <w:color w:val="000000"/>
          <w:sz w:val="28"/>
          <w:szCs w:val="28"/>
        </w:rPr>
        <w:t>Після отримання декларації визначається сума, що підлягає поверненню, яка громадянам перераховується протягом 60 днів поштовим переказом або на банківський рахунок. </w:t>
      </w:r>
    </w:p>
    <w:p w:rsidR="000C743D" w:rsidRPr="00BA6D39" w:rsidRDefault="000C743D" w:rsidP="000C743D">
      <w:pPr>
        <w:pStyle w:val="a3"/>
        <w:shd w:val="clear" w:color="auto" w:fill="FFFFFF"/>
        <w:spacing w:before="0" w:beforeAutospacing="0" w:after="0" w:afterAutospacing="0"/>
        <w:ind w:firstLine="708"/>
        <w:jc w:val="both"/>
        <w:textAlignment w:val="baseline"/>
        <w:rPr>
          <w:color w:val="000000"/>
          <w:sz w:val="28"/>
          <w:szCs w:val="28"/>
        </w:rPr>
      </w:pPr>
      <w:r w:rsidRPr="00BA6D39">
        <w:rPr>
          <w:color w:val="000000"/>
          <w:sz w:val="28"/>
          <w:szCs w:val="28"/>
        </w:rPr>
        <w:t>Звертаємо увагу, що право на отримання податкової знижки не переноситься на наступні роки, тобто для отримання знижки за 2019 рік, необхідно подати декларацію до 31 грудня 2020 року включно. </w:t>
      </w:r>
    </w:p>
    <w:p w:rsidR="000C743D" w:rsidRPr="00BA6D39" w:rsidRDefault="000C743D" w:rsidP="000C743D">
      <w:pPr>
        <w:pStyle w:val="a3"/>
        <w:shd w:val="clear" w:color="auto" w:fill="FFFFFF"/>
        <w:spacing w:before="0" w:beforeAutospacing="0" w:after="0" w:afterAutospacing="0"/>
        <w:ind w:firstLine="708"/>
        <w:jc w:val="both"/>
        <w:textAlignment w:val="baseline"/>
        <w:rPr>
          <w:color w:val="000000"/>
          <w:sz w:val="28"/>
          <w:szCs w:val="28"/>
        </w:rPr>
      </w:pPr>
      <w:r w:rsidRPr="00BA6D39">
        <w:rPr>
          <w:color w:val="000000"/>
          <w:sz w:val="28"/>
          <w:szCs w:val="28"/>
        </w:rPr>
        <w:t>Загальна сума податкової знижки, нарахована платнику податку у звітному році, не може перевищувати суму річного загального оподатковуваного доходу платника податку, нарахованого у вигляді заробітної плати.</w:t>
      </w:r>
    </w:p>
    <w:p w:rsidR="000C743D" w:rsidRDefault="000C743D" w:rsidP="000C743D">
      <w:pPr>
        <w:pStyle w:val="a3"/>
        <w:shd w:val="clear" w:color="auto" w:fill="FFFFFF"/>
        <w:spacing w:before="0" w:beforeAutospacing="0" w:after="0" w:afterAutospacing="0"/>
        <w:ind w:firstLine="708"/>
        <w:jc w:val="both"/>
        <w:textAlignment w:val="baseline"/>
        <w:rPr>
          <w:color w:val="000000"/>
          <w:sz w:val="28"/>
          <w:szCs w:val="28"/>
        </w:rPr>
      </w:pPr>
      <w:r w:rsidRPr="00BA6D39">
        <w:rPr>
          <w:color w:val="000000"/>
          <w:sz w:val="28"/>
          <w:szCs w:val="28"/>
        </w:rPr>
        <w:t>До заробітної плати належать основна та додаткова винагороди, інші заохочувальні та компенсаційні кошти, які виплачують платнику податку на підставі відносин трудового найму.</w:t>
      </w:r>
    </w:p>
    <w:p w:rsidR="000C743D" w:rsidRDefault="000C743D" w:rsidP="000C743D">
      <w:pPr>
        <w:pStyle w:val="a3"/>
        <w:shd w:val="clear" w:color="auto" w:fill="FFFFFF"/>
        <w:spacing w:before="0" w:beforeAutospacing="0" w:after="0" w:afterAutospacing="0"/>
        <w:ind w:firstLine="708"/>
        <w:jc w:val="both"/>
        <w:textAlignment w:val="baseline"/>
        <w:rPr>
          <w:color w:val="000000"/>
          <w:sz w:val="28"/>
          <w:szCs w:val="28"/>
        </w:rPr>
      </w:pPr>
    </w:p>
    <w:p w:rsidR="000C743D" w:rsidRPr="00EC1C26" w:rsidRDefault="000C743D" w:rsidP="000C743D">
      <w:pPr>
        <w:pStyle w:val="20"/>
        <w:shd w:val="clear" w:color="auto" w:fill="auto"/>
        <w:spacing w:after="0" w:line="310" w:lineRule="exact"/>
        <w:ind w:right="100" w:firstLine="760"/>
        <w:jc w:val="both"/>
        <w:rPr>
          <w:sz w:val="28"/>
          <w:szCs w:val="28"/>
        </w:rPr>
      </w:pPr>
      <w:r w:rsidRPr="00EC1C26">
        <w:rPr>
          <w:rStyle w:val="2"/>
          <w:color w:val="000000"/>
          <w:sz w:val="28"/>
          <w:szCs w:val="28"/>
          <w:lang w:eastAsia="uk-UA"/>
        </w:rPr>
        <w:t>Станом на 01.</w:t>
      </w:r>
      <w:r>
        <w:rPr>
          <w:rStyle w:val="2"/>
          <w:color w:val="000000"/>
          <w:sz w:val="28"/>
          <w:szCs w:val="28"/>
          <w:lang w:eastAsia="uk-UA"/>
        </w:rPr>
        <w:t>1</w:t>
      </w:r>
      <w:r w:rsidRPr="002023C0">
        <w:rPr>
          <w:rStyle w:val="2"/>
          <w:color w:val="000000"/>
          <w:sz w:val="28"/>
          <w:szCs w:val="28"/>
          <w:lang w:val="ru-RU" w:eastAsia="uk-UA"/>
        </w:rPr>
        <w:t>1</w:t>
      </w:r>
      <w:r w:rsidRPr="00EC1C26">
        <w:rPr>
          <w:rStyle w:val="2"/>
          <w:color w:val="000000"/>
          <w:sz w:val="28"/>
          <w:szCs w:val="28"/>
          <w:lang w:eastAsia="uk-UA"/>
        </w:rPr>
        <w:t xml:space="preserve">.2021 </w:t>
      </w:r>
      <w:r>
        <w:rPr>
          <w:rStyle w:val="2"/>
          <w:color w:val="000000"/>
          <w:sz w:val="28"/>
          <w:szCs w:val="28"/>
          <w:lang w:eastAsia="uk-UA"/>
        </w:rPr>
        <w:t xml:space="preserve">ГУ ДПС у Волинській області </w:t>
      </w:r>
      <w:r w:rsidRPr="00EC1C26">
        <w:rPr>
          <w:rStyle w:val="2"/>
          <w:color w:val="000000"/>
          <w:sz w:val="28"/>
          <w:szCs w:val="28"/>
          <w:lang w:eastAsia="uk-UA"/>
        </w:rPr>
        <w:t xml:space="preserve">забезпечено прийняття звітності </w:t>
      </w:r>
      <w:r>
        <w:rPr>
          <w:rStyle w:val="2"/>
          <w:color w:val="000000"/>
          <w:sz w:val="28"/>
          <w:szCs w:val="28"/>
          <w:lang w:eastAsia="uk-UA"/>
        </w:rPr>
        <w:t>8</w:t>
      </w:r>
      <w:r w:rsidRPr="006A0407">
        <w:rPr>
          <w:rStyle w:val="2"/>
          <w:color w:val="000000"/>
          <w:sz w:val="28"/>
          <w:szCs w:val="28"/>
          <w:lang w:val="ru-RU" w:eastAsia="uk-UA"/>
        </w:rPr>
        <w:t>688</w:t>
      </w:r>
      <w:r w:rsidRPr="00EC1C26">
        <w:rPr>
          <w:rStyle w:val="2"/>
          <w:color w:val="000000"/>
          <w:sz w:val="28"/>
          <w:szCs w:val="28"/>
          <w:lang w:eastAsia="uk-UA"/>
        </w:rPr>
        <w:t xml:space="preserve"> громадян. Задекларовано </w:t>
      </w:r>
      <w:r>
        <w:rPr>
          <w:rStyle w:val="2"/>
          <w:color w:val="000000"/>
          <w:sz w:val="28"/>
          <w:szCs w:val="28"/>
          <w:lang w:val="ru-RU" w:eastAsia="uk-UA"/>
        </w:rPr>
        <w:t>1235</w:t>
      </w:r>
      <w:r>
        <w:rPr>
          <w:rStyle w:val="2"/>
          <w:color w:val="000000"/>
          <w:sz w:val="28"/>
          <w:szCs w:val="28"/>
          <w:lang w:eastAsia="uk-UA"/>
        </w:rPr>
        <w:t>,5</w:t>
      </w:r>
      <w:r w:rsidRPr="00EC1C26">
        <w:rPr>
          <w:rStyle w:val="2"/>
          <w:color w:val="000000"/>
          <w:sz w:val="28"/>
          <w:szCs w:val="28"/>
          <w:lang w:eastAsia="uk-UA"/>
        </w:rPr>
        <w:t xml:space="preserve"> мл</w:t>
      </w:r>
      <w:r w:rsidRPr="00EC1C26">
        <w:rPr>
          <w:rStyle w:val="2"/>
          <w:color w:val="000000"/>
          <w:sz w:val="28"/>
          <w:szCs w:val="28"/>
          <w:lang w:val="ru-RU" w:eastAsia="uk-UA"/>
        </w:rPr>
        <w:t>н</w:t>
      </w:r>
      <w:r w:rsidRPr="00EC1C26">
        <w:rPr>
          <w:rStyle w:val="2"/>
          <w:color w:val="000000"/>
          <w:sz w:val="28"/>
          <w:szCs w:val="28"/>
          <w:lang w:eastAsia="uk-UA"/>
        </w:rPr>
        <w:t>. грн. доходу, до сплати визначено 2</w:t>
      </w:r>
      <w:r>
        <w:rPr>
          <w:rStyle w:val="2"/>
          <w:color w:val="000000"/>
          <w:sz w:val="28"/>
          <w:szCs w:val="28"/>
          <w:lang w:eastAsia="uk-UA"/>
        </w:rPr>
        <w:t xml:space="preserve">5,5 </w:t>
      </w:r>
      <w:r w:rsidRPr="00EC1C26">
        <w:rPr>
          <w:rStyle w:val="2"/>
          <w:color w:val="000000"/>
          <w:sz w:val="28"/>
          <w:szCs w:val="28"/>
          <w:lang w:eastAsia="uk-UA"/>
        </w:rPr>
        <w:t>млн. грн. податку на доходи фізичних осіб, 3,</w:t>
      </w:r>
      <w:r>
        <w:rPr>
          <w:rStyle w:val="2"/>
          <w:color w:val="000000"/>
          <w:sz w:val="28"/>
          <w:szCs w:val="28"/>
          <w:lang w:eastAsia="uk-UA"/>
        </w:rPr>
        <w:t>8</w:t>
      </w:r>
      <w:r w:rsidRPr="00EC1C26">
        <w:rPr>
          <w:rStyle w:val="2"/>
          <w:color w:val="000000"/>
          <w:sz w:val="28"/>
          <w:szCs w:val="28"/>
          <w:lang w:eastAsia="uk-UA"/>
        </w:rPr>
        <w:t xml:space="preserve">  млн. грн. військового збору.</w:t>
      </w:r>
      <w:r w:rsidRPr="00EC1C26">
        <w:rPr>
          <w:sz w:val="28"/>
          <w:szCs w:val="28"/>
        </w:rPr>
        <w:t xml:space="preserve"> </w:t>
      </w:r>
    </w:p>
    <w:p w:rsidR="000C743D" w:rsidRDefault="000C743D" w:rsidP="000C743D">
      <w:pPr>
        <w:ind w:right="100" w:firstLine="708"/>
        <w:jc w:val="both"/>
        <w:rPr>
          <w:rFonts w:ascii="Times New Roman" w:hAnsi="Times New Roman" w:cs="Times New Roman"/>
          <w:b/>
          <w:sz w:val="32"/>
          <w:szCs w:val="32"/>
        </w:rPr>
      </w:pPr>
      <w:r>
        <w:rPr>
          <w:rStyle w:val="2"/>
          <w:sz w:val="28"/>
          <w:szCs w:val="28"/>
        </w:rPr>
        <w:lastRenderedPageBreak/>
        <w:t>4065</w:t>
      </w:r>
      <w:r>
        <w:rPr>
          <w:rStyle w:val="2"/>
          <w:sz w:val="28"/>
          <w:szCs w:val="28"/>
          <w:lang w:val="ru-RU"/>
        </w:rPr>
        <w:t xml:space="preserve"> </w:t>
      </w:r>
      <w:r w:rsidRPr="00F7280F">
        <w:rPr>
          <w:rStyle w:val="2"/>
          <w:sz w:val="28"/>
          <w:szCs w:val="28"/>
        </w:rPr>
        <w:t xml:space="preserve">громадянами подано декларації на податкову знижку за підсумками 2020 року на суму до повернення </w:t>
      </w:r>
      <w:r>
        <w:rPr>
          <w:rStyle w:val="2"/>
          <w:sz w:val="28"/>
          <w:szCs w:val="28"/>
          <w:lang w:val="ru-RU"/>
        </w:rPr>
        <w:t>11,2 млн</w:t>
      </w:r>
      <w:r w:rsidRPr="00F7280F">
        <w:rPr>
          <w:rStyle w:val="2"/>
          <w:sz w:val="28"/>
          <w:szCs w:val="28"/>
        </w:rPr>
        <w:t xml:space="preserve">. грн. податку на доходи фізичних осіб, з них по </w:t>
      </w:r>
      <w:r>
        <w:rPr>
          <w:rStyle w:val="2"/>
          <w:sz w:val="28"/>
          <w:szCs w:val="28"/>
        </w:rPr>
        <w:t>3803</w:t>
      </w:r>
      <w:r w:rsidRPr="00F7280F">
        <w:rPr>
          <w:rStyle w:val="2"/>
          <w:sz w:val="28"/>
          <w:szCs w:val="28"/>
        </w:rPr>
        <w:t xml:space="preserve"> податок повернуто на загальну суму </w:t>
      </w:r>
      <w:r>
        <w:rPr>
          <w:rStyle w:val="2"/>
          <w:sz w:val="28"/>
          <w:szCs w:val="28"/>
        </w:rPr>
        <w:t>10,6 млн</w:t>
      </w:r>
      <w:r w:rsidRPr="00F7280F">
        <w:rPr>
          <w:rStyle w:val="2"/>
          <w:sz w:val="28"/>
          <w:szCs w:val="28"/>
        </w:rPr>
        <w:t>. грн</w:t>
      </w:r>
      <w:r>
        <w:rPr>
          <w:rStyle w:val="2"/>
          <w:sz w:val="28"/>
          <w:szCs w:val="28"/>
        </w:rPr>
        <w:t>.</w:t>
      </w:r>
      <w:r w:rsidRPr="00F7280F">
        <w:rPr>
          <w:rStyle w:val="2"/>
          <w:sz w:val="28"/>
          <w:szCs w:val="28"/>
        </w:rPr>
        <w:t xml:space="preserve">  </w:t>
      </w:r>
    </w:p>
    <w:p w:rsidR="000C743D" w:rsidRDefault="000C743D" w:rsidP="000C743D">
      <w:pPr>
        <w:pStyle w:val="a3"/>
        <w:shd w:val="clear" w:color="auto" w:fill="FFFFFF"/>
        <w:spacing w:before="0" w:beforeAutospacing="0" w:after="0" w:afterAutospacing="0"/>
        <w:ind w:firstLine="708"/>
        <w:jc w:val="both"/>
        <w:textAlignment w:val="baseline"/>
        <w:rPr>
          <w:color w:val="000000"/>
          <w:sz w:val="28"/>
          <w:szCs w:val="28"/>
        </w:rPr>
      </w:pPr>
    </w:p>
    <w:p w:rsidR="002A4A8F" w:rsidRPr="00BA6D39" w:rsidRDefault="002A4A8F" w:rsidP="000C743D">
      <w:pPr>
        <w:pStyle w:val="a3"/>
        <w:shd w:val="clear" w:color="auto" w:fill="FFFFFF"/>
        <w:spacing w:before="0" w:beforeAutospacing="0" w:after="0" w:afterAutospacing="0"/>
        <w:ind w:firstLine="708"/>
        <w:jc w:val="both"/>
        <w:textAlignment w:val="baseline"/>
        <w:rPr>
          <w:color w:val="000000"/>
          <w:sz w:val="28"/>
          <w:szCs w:val="28"/>
        </w:rPr>
      </w:pPr>
    </w:p>
    <w:p w:rsidR="008F5745" w:rsidRPr="00BA6D39" w:rsidRDefault="008F5745" w:rsidP="008F5745">
      <w:pPr>
        <w:shd w:val="clear" w:color="auto" w:fill="FFFFFF"/>
        <w:spacing w:after="0" w:line="240" w:lineRule="auto"/>
        <w:jc w:val="center"/>
        <w:rPr>
          <w:rFonts w:ascii="Times New Roman" w:eastAsia="Times New Roman" w:hAnsi="Times New Roman" w:cs="Times New Roman"/>
          <w:color w:val="333333"/>
          <w:sz w:val="28"/>
          <w:szCs w:val="28"/>
          <w:lang w:eastAsia="uk-UA"/>
        </w:rPr>
      </w:pPr>
      <w:r w:rsidRPr="00BA6D39">
        <w:rPr>
          <w:rFonts w:ascii="Times New Roman" w:eastAsia="Times New Roman" w:hAnsi="Times New Roman" w:cs="Times New Roman"/>
          <w:b/>
          <w:bCs/>
          <w:color w:val="333333"/>
          <w:sz w:val="28"/>
          <w:szCs w:val="28"/>
          <w:lang w:eastAsia="uk-UA"/>
        </w:rPr>
        <w:t>Витрати, дозволені для включення до податкової знижки за 20</w:t>
      </w:r>
      <w:r w:rsidR="009F6C0C" w:rsidRPr="00BA6D39">
        <w:rPr>
          <w:rFonts w:ascii="Times New Roman" w:eastAsia="Times New Roman" w:hAnsi="Times New Roman" w:cs="Times New Roman"/>
          <w:b/>
          <w:bCs/>
          <w:color w:val="333333"/>
          <w:sz w:val="28"/>
          <w:szCs w:val="28"/>
          <w:lang w:eastAsia="uk-UA"/>
        </w:rPr>
        <w:t>20</w:t>
      </w:r>
      <w:r w:rsidRPr="00BA6D39">
        <w:rPr>
          <w:rFonts w:ascii="Times New Roman" w:eastAsia="Times New Roman" w:hAnsi="Times New Roman" w:cs="Times New Roman"/>
          <w:b/>
          <w:bCs/>
          <w:color w:val="333333"/>
          <w:sz w:val="28"/>
          <w:szCs w:val="28"/>
          <w:lang w:eastAsia="uk-UA"/>
        </w:rPr>
        <w:t xml:space="preserve"> рік</w:t>
      </w:r>
    </w:p>
    <w:tbl>
      <w:tblPr>
        <w:tblW w:w="1099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20"/>
        <w:gridCol w:w="3685"/>
        <w:gridCol w:w="5189"/>
      </w:tblGrid>
      <w:tr w:rsidR="008F5745" w:rsidRPr="00BA6D39" w:rsidTr="00C172E7">
        <w:trPr>
          <w:jc w:val="center"/>
        </w:trPr>
        <w:tc>
          <w:tcPr>
            <w:tcW w:w="964"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0" w:line="240" w:lineRule="auto"/>
              <w:jc w:val="center"/>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b/>
                <w:bCs/>
                <w:color w:val="333333"/>
                <w:sz w:val="24"/>
                <w:szCs w:val="24"/>
                <w:lang w:eastAsia="uk-UA"/>
              </w:rPr>
              <w:t> ПІДСТАВА</w:t>
            </w:r>
          </w:p>
        </w:tc>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0" w:line="240" w:lineRule="auto"/>
              <w:jc w:val="center"/>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b/>
                <w:bCs/>
                <w:color w:val="333333"/>
                <w:sz w:val="24"/>
                <w:szCs w:val="24"/>
                <w:lang w:eastAsia="uk-UA"/>
              </w:rPr>
              <w:t>ВИТРАТИ</w:t>
            </w:r>
          </w:p>
        </w:tc>
        <w:tc>
          <w:tcPr>
            <w:tcW w:w="2360"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0" w:line="240" w:lineRule="auto"/>
              <w:jc w:val="center"/>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b/>
                <w:bCs/>
                <w:color w:val="333333"/>
                <w:sz w:val="24"/>
                <w:szCs w:val="24"/>
                <w:lang w:eastAsia="uk-UA"/>
              </w:rPr>
              <w:t>ОБМЕЖЕННЯ</w:t>
            </w:r>
          </w:p>
        </w:tc>
      </w:tr>
      <w:tr w:rsidR="008F5745" w:rsidRPr="00BA6D39" w:rsidTr="00C172E7">
        <w:trPr>
          <w:trHeight w:val="1179"/>
          <w:jc w:val="center"/>
        </w:trPr>
        <w:tc>
          <w:tcPr>
            <w:tcW w:w="964"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Підпункт 166.3.1 п. 166.3 ст. 166 Кодексу</w:t>
            </w:r>
          </w:p>
        </w:tc>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Частина суми процентів, сплачених за користування іпотечним кредитом</w:t>
            </w:r>
          </w:p>
        </w:tc>
        <w:tc>
          <w:tcPr>
            <w:tcW w:w="2360"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Житловий будинок (квартира, кімната), що будується чи придбавається, має бути визначений як основне місце проживання</w:t>
            </w:r>
          </w:p>
        </w:tc>
      </w:tr>
      <w:tr w:rsidR="008F5745" w:rsidRPr="00BA6D39" w:rsidTr="00C172E7">
        <w:trPr>
          <w:trHeight w:val="1256"/>
          <w:jc w:val="center"/>
        </w:trPr>
        <w:tc>
          <w:tcPr>
            <w:tcW w:w="964"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Підпункт 166.3.2             п. 166.3 ст. 166 Кодексу</w:t>
            </w:r>
          </w:p>
        </w:tc>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Пожертвування або благодійні внески неприбутковим організаціям</w:t>
            </w:r>
          </w:p>
        </w:tc>
        <w:tc>
          <w:tcPr>
            <w:tcW w:w="2360"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Розмір внесків не повинен перевищувати 4 % від суми загального оподатковуваного доходу за звітний рік</w:t>
            </w:r>
          </w:p>
        </w:tc>
      </w:tr>
      <w:tr w:rsidR="008F5745" w:rsidRPr="00BA6D39" w:rsidTr="00C172E7">
        <w:trPr>
          <w:jc w:val="center"/>
        </w:trPr>
        <w:tc>
          <w:tcPr>
            <w:tcW w:w="964"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Підпункт 166.3.3 п. 166.3 ст. 166 Кодексу</w:t>
            </w:r>
          </w:p>
        </w:tc>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Сума коштів, сплачених на користь закладів освіти для компенсації вартості навчання</w:t>
            </w:r>
          </w:p>
        </w:tc>
        <w:tc>
          <w:tcPr>
            <w:tcW w:w="2360"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Понесені витрати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такого платника податку та/або члена його сім'ї першого ступеня споріднення</w:t>
            </w:r>
          </w:p>
        </w:tc>
      </w:tr>
      <w:tr w:rsidR="008F5745" w:rsidRPr="00BA6D39" w:rsidTr="00C172E7">
        <w:trPr>
          <w:jc w:val="center"/>
        </w:trPr>
        <w:tc>
          <w:tcPr>
            <w:tcW w:w="964"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Підпункт 166.3.5  п. 166.3 ст. 166 Кодексу</w:t>
            </w:r>
          </w:p>
        </w:tc>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Страхові платежі (внески, премії) за договорами довгострокового страхування життя та пенсійні внески в рамках недержавного пенсійного забезпечення</w:t>
            </w:r>
          </w:p>
        </w:tc>
        <w:tc>
          <w:tcPr>
            <w:tcW w:w="2360"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Понесені витрати у 2018 році не повинні перевищувати (у розрахунку за кожний з повних чи не повних місяців звітного податкового року, протягом яких діяв договір страхування):</w:t>
            </w:r>
          </w:p>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при страхуванні платника податку – 2</w:t>
            </w:r>
            <w:r w:rsidR="00AE751E">
              <w:rPr>
                <w:rFonts w:ascii="Times New Roman" w:eastAsia="Times New Roman" w:hAnsi="Times New Roman" w:cs="Times New Roman"/>
                <w:color w:val="333333"/>
                <w:sz w:val="24"/>
                <w:szCs w:val="24"/>
                <w:lang w:eastAsia="uk-UA"/>
              </w:rPr>
              <w:t>940</w:t>
            </w:r>
            <w:r w:rsidRPr="00BA6D39">
              <w:rPr>
                <w:rFonts w:ascii="Times New Roman" w:eastAsia="Times New Roman" w:hAnsi="Times New Roman" w:cs="Times New Roman"/>
                <w:color w:val="333333"/>
                <w:sz w:val="24"/>
                <w:szCs w:val="24"/>
                <w:lang w:eastAsia="uk-UA"/>
              </w:rPr>
              <w:t>,0  грн.;</w:t>
            </w:r>
          </w:p>
          <w:p w:rsidR="008F5745" w:rsidRPr="00BA6D39" w:rsidRDefault="008F5745" w:rsidP="00AE751E">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при ст</w:t>
            </w:r>
            <w:r w:rsidR="00EF185D">
              <w:rPr>
                <w:rFonts w:ascii="Times New Roman" w:eastAsia="Times New Roman" w:hAnsi="Times New Roman" w:cs="Times New Roman"/>
                <w:color w:val="333333"/>
                <w:sz w:val="24"/>
                <w:szCs w:val="24"/>
                <w:lang w:eastAsia="uk-UA"/>
              </w:rPr>
              <w:t>р</w:t>
            </w:r>
            <w:r w:rsidRPr="00BA6D39">
              <w:rPr>
                <w:rFonts w:ascii="Times New Roman" w:eastAsia="Times New Roman" w:hAnsi="Times New Roman" w:cs="Times New Roman"/>
                <w:color w:val="333333"/>
                <w:sz w:val="24"/>
                <w:szCs w:val="24"/>
                <w:lang w:eastAsia="uk-UA"/>
              </w:rPr>
              <w:t>ахуванні члена сім’ї платника податку першого ступеня споріднення – 1</w:t>
            </w:r>
            <w:r w:rsidR="00AE751E">
              <w:rPr>
                <w:rFonts w:ascii="Times New Roman" w:eastAsia="Times New Roman" w:hAnsi="Times New Roman" w:cs="Times New Roman"/>
                <w:color w:val="333333"/>
                <w:sz w:val="24"/>
                <w:szCs w:val="24"/>
                <w:lang w:eastAsia="uk-UA"/>
              </w:rPr>
              <w:t>470</w:t>
            </w:r>
            <w:r w:rsidRPr="00BA6D39">
              <w:rPr>
                <w:rFonts w:ascii="Times New Roman" w:eastAsia="Times New Roman" w:hAnsi="Times New Roman" w:cs="Times New Roman"/>
                <w:color w:val="333333"/>
                <w:sz w:val="24"/>
                <w:szCs w:val="24"/>
                <w:lang w:eastAsia="uk-UA"/>
              </w:rPr>
              <w:t>,0 грн.</w:t>
            </w:r>
          </w:p>
        </w:tc>
      </w:tr>
      <w:tr w:rsidR="008F5745" w:rsidRPr="00BA6D39" w:rsidTr="00C172E7">
        <w:trPr>
          <w:jc w:val="center"/>
        </w:trPr>
        <w:tc>
          <w:tcPr>
            <w:tcW w:w="964"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 xml:space="preserve">Абзац другий  </w:t>
            </w:r>
            <w:proofErr w:type="spellStart"/>
            <w:r w:rsidRPr="00BA6D39">
              <w:rPr>
                <w:rFonts w:ascii="Times New Roman" w:eastAsia="Times New Roman" w:hAnsi="Times New Roman" w:cs="Times New Roman"/>
                <w:color w:val="333333"/>
                <w:sz w:val="24"/>
                <w:szCs w:val="24"/>
                <w:lang w:eastAsia="uk-UA"/>
              </w:rPr>
              <w:t>пп</w:t>
            </w:r>
            <w:proofErr w:type="spellEnd"/>
            <w:r w:rsidRPr="00BA6D39">
              <w:rPr>
                <w:rFonts w:ascii="Times New Roman" w:eastAsia="Times New Roman" w:hAnsi="Times New Roman" w:cs="Times New Roman"/>
                <w:color w:val="333333"/>
                <w:sz w:val="24"/>
                <w:szCs w:val="24"/>
                <w:lang w:eastAsia="uk-UA"/>
              </w:rPr>
              <w:t>. 166.3.6 п. 166.3 ст. 166 Кодексу</w:t>
            </w:r>
          </w:p>
        </w:tc>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Суми витрат на оплату допоміжних репродуктивних технологій</w:t>
            </w:r>
          </w:p>
        </w:tc>
        <w:tc>
          <w:tcPr>
            <w:tcW w:w="2360"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Включається сума витрат не більше ніж сума, що дорівнює третині доходу у вигляді заробітної плати за звітний податковий рік</w:t>
            </w:r>
          </w:p>
        </w:tc>
      </w:tr>
      <w:tr w:rsidR="008F5745" w:rsidRPr="00BA6D39" w:rsidTr="00C172E7">
        <w:trPr>
          <w:jc w:val="center"/>
        </w:trPr>
        <w:tc>
          <w:tcPr>
            <w:tcW w:w="964"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 xml:space="preserve">Абзац третій </w:t>
            </w:r>
            <w:proofErr w:type="spellStart"/>
            <w:r w:rsidRPr="00BA6D39">
              <w:rPr>
                <w:rFonts w:ascii="Times New Roman" w:eastAsia="Times New Roman" w:hAnsi="Times New Roman" w:cs="Times New Roman"/>
                <w:color w:val="333333"/>
                <w:sz w:val="24"/>
                <w:szCs w:val="24"/>
                <w:lang w:eastAsia="uk-UA"/>
              </w:rPr>
              <w:t>пп</w:t>
            </w:r>
            <w:proofErr w:type="spellEnd"/>
            <w:r w:rsidRPr="00BA6D39">
              <w:rPr>
                <w:rFonts w:ascii="Times New Roman" w:eastAsia="Times New Roman" w:hAnsi="Times New Roman" w:cs="Times New Roman"/>
                <w:color w:val="333333"/>
                <w:sz w:val="24"/>
                <w:szCs w:val="24"/>
                <w:lang w:eastAsia="uk-UA"/>
              </w:rPr>
              <w:t>. 166.3.6 п. 166.3                ст. 166 Кодексу</w:t>
            </w:r>
          </w:p>
        </w:tc>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Суми витрат на оплату державних послуг, пов'язаних з усиновленням дитини, включаючи сплату державного мита</w:t>
            </w:r>
          </w:p>
        </w:tc>
        <w:tc>
          <w:tcPr>
            <w:tcW w:w="2360"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 Обмежень не встановлено</w:t>
            </w:r>
          </w:p>
        </w:tc>
      </w:tr>
      <w:tr w:rsidR="008F5745" w:rsidRPr="00BA6D39" w:rsidTr="00C172E7">
        <w:trPr>
          <w:jc w:val="center"/>
        </w:trPr>
        <w:tc>
          <w:tcPr>
            <w:tcW w:w="964"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Підпункт 166.3.7 п. 166.3 ст. 166 Кодексу</w:t>
            </w:r>
          </w:p>
        </w:tc>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Суми коштів, сплачених у зв'язку з переобладнанням транспортного засобу</w:t>
            </w:r>
          </w:p>
        </w:tc>
        <w:tc>
          <w:tcPr>
            <w:tcW w:w="2360"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 xml:space="preserve">Витрати, пов'язані з переобладнанням транспортних засобів, що належить платнику податків, з використанням у вигляді палива моторного сумішевого, </w:t>
            </w:r>
            <w:proofErr w:type="spellStart"/>
            <w:r w:rsidRPr="00BA6D39">
              <w:rPr>
                <w:rFonts w:ascii="Times New Roman" w:eastAsia="Times New Roman" w:hAnsi="Times New Roman" w:cs="Times New Roman"/>
                <w:color w:val="333333"/>
                <w:sz w:val="24"/>
                <w:szCs w:val="24"/>
                <w:lang w:eastAsia="uk-UA"/>
              </w:rPr>
              <w:t>біоетанолу</w:t>
            </w:r>
            <w:proofErr w:type="spellEnd"/>
            <w:r w:rsidRPr="00BA6D39">
              <w:rPr>
                <w:rFonts w:ascii="Times New Roman" w:eastAsia="Times New Roman" w:hAnsi="Times New Roman" w:cs="Times New Roman"/>
                <w:color w:val="333333"/>
                <w:sz w:val="24"/>
                <w:szCs w:val="24"/>
                <w:lang w:eastAsia="uk-UA"/>
              </w:rPr>
              <w:t xml:space="preserve">, </w:t>
            </w:r>
            <w:proofErr w:type="spellStart"/>
            <w:r w:rsidRPr="00BA6D39">
              <w:rPr>
                <w:rFonts w:ascii="Times New Roman" w:eastAsia="Times New Roman" w:hAnsi="Times New Roman" w:cs="Times New Roman"/>
                <w:color w:val="333333"/>
                <w:sz w:val="24"/>
                <w:szCs w:val="24"/>
                <w:lang w:eastAsia="uk-UA"/>
              </w:rPr>
              <w:t>біодизелю</w:t>
            </w:r>
            <w:proofErr w:type="spellEnd"/>
            <w:r w:rsidRPr="00BA6D39">
              <w:rPr>
                <w:rFonts w:ascii="Times New Roman" w:eastAsia="Times New Roman" w:hAnsi="Times New Roman" w:cs="Times New Roman"/>
                <w:color w:val="333333"/>
                <w:sz w:val="24"/>
                <w:szCs w:val="24"/>
                <w:lang w:eastAsia="uk-UA"/>
              </w:rPr>
              <w:t>, стиснутого або скрапленого газу, інших видів біопалива. При цьому транспортний засіб, що переобладнаний, повинен бути  перереєстрований у відповідних органах.</w:t>
            </w:r>
          </w:p>
        </w:tc>
      </w:tr>
      <w:tr w:rsidR="008F5745" w:rsidRPr="00BA6D39" w:rsidTr="00C172E7">
        <w:trPr>
          <w:jc w:val="center"/>
        </w:trPr>
        <w:tc>
          <w:tcPr>
            <w:tcW w:w="964"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lastRenderedPageBreak/>
              <w:t>Підпункт 166.3.8 п. 166.3 ст. 166 Кодексу</w:t>
            </w:r>
          </w:p>
        </w:tc>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Суми витрат на сплату видатків на будівництво (придбання) доступного житла, визначеного законом, у тому числі на погашення пільгового іпотечного житлового кредиту, наданого на такі цілі, та процентів за ним</w:t>
            </w:r>
          </w:p>
        </w:tc>
        <w:tc>
          <w:tcPr>
            <w:tcW w:w="2360"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EF185D" w:rsidP="008F5745">
            <w:pPr>
              <w:spacing w:after="225"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Понесені вит</w:t>
            </w:r>
            <w:r w:rsidR="008F5745" w:rsidRPr="00BA6D39">
              <w:rPr>
                <w:rFonts w:ascii="Times New Roman" w:eastAsia="Times New Roman" w:hAnsi="Times New Roman" w:cs="Times New Roman"/>
                <w:color w:val="333333"/>
                <w:sz w:val="24"/>
                <w:szCs w:val="24"/>
                <w:lang w:eastAsia="uk-UA"/>
              </w:rPr>
              <w:t>рати за державними програмами будівництва (придбання) доступного житла</w:t>
            </w:r>
          </w:p>
        </w:tc>
      </w:tr>
      <w:tr w:rsidR="008F5745" w:rsidRPr="00BA6D39" w:rsidTr="00C172E7">
        <w:trPr>
          <w:jc w:val="center"/>
        </w:trPr>
        <w:tc>
          <w:tcPr>
            <w:tcW w:w="964"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Підпункт 166.3.9 п. 166.3 ст. 166 Кодексу</w:t>
            </w:r>
          </w:p>
        </w:tc>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Суму коштів у вигляді орендної плати за договором оренди житла (квартири, будинку), оформленим відповідно до вимог чинного законодавства, фактично сплачених платником податку, який має статус внутрішньо переміщеної особи.</w:t>
            </w:r>
          </w:p>
        </w:tc>
        <w:tc>
          <w:tcPr>
            <w:tcW w:w="2360" w:type="pct"/>
            <w:tcBorders>
              <w:top w:val="outset" w:sz="6" w:space="0" w:color="auto"/>
              <w:left w:val="outset" w:sz="6" w:space="0" w:color="auto"/>
              <w:bottom w:val="outset" w:sz="6" w:space="0" w:color="auto"/>
              <w:right w:val="outset" w:sz="6" w:space="0" w:color="auto"/>
            </w:tcBorders>
            <w:shd w:val="clear" w:color="auto" w:fill="FFFFFF"/>
            <w:hideMark/>
          </w:tcPr>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Платник податку має право скористатися зазначеною в цьому підпункті податковою знижкою виключно за умови, що він та/або члени його сім'ї першого ступеня споріднення:</w:t>
            </w:r>
          </w:p>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не мають у власності придатної для проживання житлової нерухомості, розташованої поза межами тимчасово окупованої території України;</w:t>
            </w:r>
          </w:p>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не отримують передбачених законодавством України бюджетних виплат для покриття витрат на проживання.</w:t>
            </w:r>
          </w:p>
          <w:p w:rsidR="008F5745" w:rsidRPr="00BA6D39" w:rsidRDefault="008F5745" w:rsidP="008F5745">
            <w:pPr>
              <w:spacing w:after="225" w:line="240" w:lineRule="auto"/>
              <w:rPr>
                <w:rFonts w:ascii="Times New Roman" w:eastAsia="Times New Roman" w:hAnsi="Times New Roman" w:cs="Times New Roman"/>
                <w:color w:val="333333"/>
                <w:sz w:val="24"/>
                <w:szCs w:val="24"/>
                <w:lang w:eastAsia="uk-UA"/>
              </w:rPr>
            </w:pPr>
            <w:r w:rsidRPr="00BA6D39">
              <w:rPr>
                <w:rFonts w:ascii="Times New Roman" w:eastAsia="Times New Roman" w:hAnsi="Times New Roman" w:cs="Times New Roman"/>
                <w:color w:val="333333"/>
                <w:sz w:val="24"/>
                <w:szCs w:val="24"/>
                <w:lang w:eastAsia="uk-UA"/>
              </w:rPr>
              <w:t>Розмір такої знижки не може перевищувати (у розрахунку на календарний рік) 30 розмірів мінімальної заробітної плати, встановленої на 1 січня звітного (податкового) року.</w:t>
            </w:r>
          </w:p>
        </w:tc>
      </w:tr>
    </w:tbl>
    <w:p w:rsidR="00033ACB" w:rsidRPr="00BA6D39" w:rsidRDefault="00033ACB" w:rsidP="00EF185D">
      <w:pPr>
        <w:rPr>
          <w:rFonts w:ascii="Times New Roman" w:hAnsi="Times New Roman" w:cs="Times New Roman"/>
          <w:color w:val="000000"/>
          <w:sz w:val="28"/>
          <w:szCs w:val="28"/>
        </w:rPr>
      </w:pPr>
    </w:p>
    <w:sectPr w:rsidR="00033ACB" w:rsidRPr="00BA6D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519"/>
    <w:multiLevelType w:val="multilevel"/>
    <w:tmpl w:val="810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6377A"/>
    <w:multiLevelType w:val="multilevel"/>
    <w:tmpl w:val="F580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029AB"/>
    <w:multiLevelType w:val="multilevel"/>
    <w:tmpl w:val="9A7A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859D5"/>
    <w:multiLevelType w:val="multilevel"/>
    <w:tmpl w:val="FE3C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72EBA"/>
    <w:multiLevelType w:val="multilevel"/>
    <w:tmpl w:val="B27C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45"/>
    <w:rsid w:val="00033ACB"/>
    <w:rsid w:val="000C743D"/>
    <w:rsid w:val="002A4A8F"/>
    <w:rsid w:val="00600A95"/>
    <w:rsid w:val="00695A5E"/>
    <w:rsid w:val="00777BE1"/>
    <w:rsid w:val="008F5745"/>
    <w:rsid w:val="009F6C0C"/>
    <w:rsid w:val="00AE751E"/>
    <w:rsid w:val="00BA6D39"/>
    <w:rsid w:val="00C172E7"/>
    <w:rsid w:val="00D41513"/>
    <w:rsid w:val="00EF185D"/>
    <w:rsid w:val="00F33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B992"/>
  <w15:docId w15:val="{04896C40-C9D1-47F9-9864-5D90F4F2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8F5745"/>
    <w:rPr>
      <w:color w:val="0000FF"/>
      <w:u w:val="single"/>
    </w:rPr>
  </w:style>
  <w:style w:type="character" w:customStyle="1" w:styleId="2">
    <w:name w:val="Основной текст (2)_"/>
    <w:basedOn w:val="a0"/>
    <w:link w:val="20"/>
    <w:uiPriority w:val="99"/>
    <w:locked/>
    <w:rsid w:val="00033ACB"/>
    <w:rPr>
      <w:rFonts w:ascii="Times New Roman" w:hAnsi="Times New Roman" w:cs="Times New Roman"/>
      <w:shd w:val="clear" w:color="auto" w:fill="FFFFFF"/>
    </w:rPr>
  </w:style>
  <w:style w:type="paragraph" w:customStyle="1" w:styleId="20">
    <w:name w:val="Основной текст (2)"/>
    <w:basedOn w:val="a"/>
    <w:link w:val="2"/>
    <w:uiPriority w:val="99"/>
    <w:rsid w:val="00033ACB"/>
    <w:pPr>
      <w:widowControl w:val="0"/>
      <w:shd w:val="clear" w:color="auto" w:fill="FFFFFF"/>
      <w:spacing w:after="660" w:line="240" w:lineRule="atLeast"/>
      <w:jc w:val="center"/>
    </w:pPr>
    <w:rPr>
      <w:rFonts w:ascii="Times New Roman" w:hAnsi="Times New Roman" w:cs="Times New Roman"/>
    </w:rPr>
  </w:style>
  <w:style w:type="paragraph" w:styleId="a5">
    <w:name w:val="Balloon Text"/>
    <w:basedOn w:val="a"/>
    <w:link w:val="a6"/>
    <w:uiPriority w:val="99"/>
    <w:semiHidden/>
    <w:unhideWhenUsed/>
    <w:rsid w:val="002A4A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4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94076">
      <w:bodyDiv w:val="1"/>
      <w:marLeft w:val="0"/>
      <w:marRight w:val="0"/>
      <w:marTop w:val="0"/>
      <w:marBottom w:val="0"/>
      <w:divBdr>
        <w:top w:val="none" w:sz="0" w:space="0" w:color="auto"/>
        <w:left w:val="none" w:sz="0" w:space="0" w:color="auto"/>
        <w:bottom w:val="none" w:sz="0" w:space="0" w:color="auto"/>
        <w:right w:val="none" w:sz="0" w:space="0" w:color="auto"/>
      </w:divBdr>
    </w:div>
    <w:div w:id="8934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3977</Words>
  <Characters>2267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d09-test</dc:creator>
  <cp:lastModifiedBy>dell_volin</cp:lastModifiedBy>
  <cp:revision>2</cp:revision>
  <cp:lastPrinted>2021-11-23T12:22:00Z</cp:lastPrinted>
  <dcterms:created xsi:type="dcterms:W3CDTF">2022-01-17T12:54:00Z</dcterms:created>
  <dcterms:modified xsi:type="dcterms:W3CDTF">2022-01-17T12:54:00Z</dcterms:modified>
</cp:coreProperties>
</file>